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E2C4EB5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93966">
        <w:rPr>
          <w:rFonts w:ascii="Garamond" w:hAnsi="Garamond"/>
          <w:sz w:val="20"/>
          <w:szCs w:val="20"/>
        </w:rPr>
        <w:t>0</w:t>
      </w:r>
      <w:r w:rsidR="00A94418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E93966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F3C5CDE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4418">
        <w:rPr>
          <w:rFonts w:ascii="Garamond" w:hAnsi="Garamond"/>
          <w:b/>
          <w:sz w:val="20"/>
          <w:szCs w:val="20"/>
        </w:rPr>
        <w:t>31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F3CA3A8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A94418" w:rsidRPr="00A94418">
        <w:rPr>
          <w:rFonts w:ascii="Garamond" w:hAnsi="Garamond"/>
          <w:b/>
          <w:bCs/>
          <w:sz w:val="20"/>
          <w:szCs w:val="20"/>
        </w:rPr>
        <w:t>PRZEGLĄDY TECHNICZNE ORAZ DOKONYWANIE NAPRAW POMPY DO KONTRAPULSACJI DATASCOPE</w:t>
      </w:r>
      <w:r w:rsidR="00A94418">
        <w:rPr>
          <w:rFonts w:ascii="Garamond" w:hAnsi="Garamond"/>
          <w:b/>
          <w:bCs/>
          <w:sz w:val="20"/>
          <w:szCs w:val="20"/>
        </w:rPr>
        <w:t xml:space="preserve">, 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FDC5ACA" w14:textId="77777777" w:rsidR="005F7920" w:rsidRDefault="005F792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048881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FF78FB3" w14:textId="77777777" w:rsidR="00A94418" w:rsidRPr="00A94418" w:rsidRDefault="00A94418" w:rsidP="00A9441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1" w:name="_Hlk216855137"/>
      <w:bookmarkStart w:id="2" w:name="_Hlk213229960"/>
      <w:bookmarkStart w:id="3" w:name="_Hlk215573466"/>
      <w:bookmarkStart w:id="4" w:name="_Hlk216690794"/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Załącznik nr 1</w:t>
      </w:r>
    </w:p>
    <w:p w14:paraId="4DF17B4A" w14:textId="592EFF2B" w:rsidR="00A94418" w:rsidRPr="00A94418" w:rsidRDefault="00A94418" w:rsidP="00A9441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W związku z koniecznością zaoferowania różnych wartości kwotowych dla poszczególnych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terminów przeglądów, wynikających z odmiennego zakresu świadczeń, Wykonawca wnosi o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dokonanie podziału formularza ofertowego na cztery wiersze odpowiadające kolejnym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przeglądom. Zaoferowanie jednej stałej kwoty netto, stanowiącej iloraz łącznej wartości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usług, nie odzwierciedlałoby rzeczywistej kalkulacji kosztów. Czy Zamawiający dopuszcza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modyfikację formularza ofertowego w ten sposób?</w:t>
      </w:r>
    </w:p>
    <w:p w14:paraId="4B73E81C" w14:textId="77777777" w:rsidR="00A94418" w:rsidRDefault="00A94418" w:rsidP="00A94418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Proponowana modyfikacja formularza:</w:t>
      </w:r>
      <w:r w:rsidRPr="00A94418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 </w:t>
      </w:r>
    </w:p>
    <w:tbl>
      <w:tblPr>
        <w:tblW w:w="10797" w:type="dxa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2894"/>
        <w:gridCol w:w="1134"/>
        <w:gridCol w:w="709"/>
        <w:gridCol w:w="1134"/>
        <w:gridCol w:w="992"/>
        <w:gridCol w:w="850"/>
        <w:gridCol w:w="1276"/>
        <w:gridCol w:w="1418"/>
      </w:tblGrid>
      <w:tr w:rsidR="00A94418" w:rsidRPr="00A94418" w14:paraId="2A04A229" w14:textId="77777777" w:rsidTr="00C31C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3B0F0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87C1DA" w14:textId="77777777" w:rsidR="00A94418" w:rsidRPr="00A94418" w:rsidRDefault="00A94418" w:rsidP="00A944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499CC" w14:textId="77777777" w:rsidR="00A94418" w:rsidRPr="00A94418" w:rsidRDefault="00A94418" w:rsidP="00A944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Szczegółowa nazwa przedmiotu zamówienia</w:t>
            </w:r>
          </w:p>
          <w:p w14:paraId="7F2CD32A" w14:textId="77777777" w:rsidR="00A94418" w:rsidRPr="00A94418" w:rsidRDefault="00A94418" w:rsidP="00A944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(charakterystyka, wymiary  itp.)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DEAF7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1BF78C" w14:textId="77777777" w:rsidR="00A94418" w:rsidRPr="00A94418" w:rsidRDefault="00A94418" w:rsidP="00A944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Kod CPV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48C67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B1D65" w14:textId="77777777" w:rsidR="00A94418" w:rsidRPr="00A94418" w:rsidRDefault="00A94418" w:rsidP="00A944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Ilość przeglądów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3543B" w14:textId="77777777" w:rsidR="00A94418" w:rsidRPr="00A94418" w:rsidRDefault="00A94418" w:rsidP="00A944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kwota netto</w:t>
            </w:r>
          </w:p>
          <w:p w14:paraId="11A3192D" w14:textId="77777777" w:rsidR="00A94418" w:rsidRPr="00A94418" w:rsidRDefault="00A94418" w:rsidP="00A944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za j.m.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A099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Podatek VAT [%]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2F1D6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E479EF" w14:textId="77777777" w:rsidR="00A94418" w:rsidRPr="00A94418" w:rsidRDefault="00A94418" w:rsidP="00A944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7B79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5BACE4" w14:textId="77777777" w:rsidR="00A94418" w:rsidRPr="00A94418" w:rsidRDefault="00A94418" w:rsidP="00A944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</w:tr>
      <w:tr w:rsidR="00A94418" w:rsidRPr="00A94418" w14:paraId="3B8664AC" w14:textId="77777777" w:rsidTr="00C31C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DD823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A707E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Przegląd techniczny</w:t>
            </w:r>
          </w:p>
          <w:p w14:paraId="42BA62C5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pompy do</w:t>
            </w:r>
          </w:p>
          <w:p w14:paraId="036C06F9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kontrapulsacji</w:t>
            </w:r>
            <w:proofErr w:type="spellEnd"/>
          </w:p>
          <w:p w14:paraId="6254250B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wewnątrzaortalnej</w:t>
            </w:r>
          </w:p>
          <w:p w14:paraId="7712E3FA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CS100 </w:t>
            </w:r>
            <w:proofErr w:type="spellStart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Datascope</w:t>
            </w:r>
            <w:proofErr w:type="spellEnd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SN: SA03277-K4 w</w:t>
            </w:r>
          </w:p>
          <w:p w14:paraId="09E97702" w14:textId="2AC0D419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terminie luty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7355B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50421000-2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D5A6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F293A" w14:textId="005B9F4A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D93CE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BF15E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79172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8447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4418" w:rsidRPr="00A94418" w14:paraId="5639F29E" w14:textId="77777777" w:rsidTr="00C31C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6C8CA" w14:textId="45D8425A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C7398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Przegląd techniczny</w:t>
            </w:r>
          </w:p>
          <w:p w14:paraId="328B8595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pompy do</w:t>
            </w:r>
          </w:p>
          <w:p w14:paraId="2D90662B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kontrapulsacji</w:t>
            </w:r>
            <w:proofErr w:type="spellEnd"/>
          </w:p>
          <w:p w14:paraId="17AC4C93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wewnątrzaortalnej</w:t>
            </w:r>
          </w:p>
          <w:p w14:paraId="48026BC8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CS100 </w:t>
            </w:r>
            <w:proofErr w:type="spellStart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Datascope</w:t>
            </w:r>
            <w:proofErr w:type="spellEnd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  <w:p w14:paraId="1FEDC355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SN: SA03277-K4 w</w:t>
            </w:r>
          </w:p>
          <w:p w14:paraId="7F6B4807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terminie sierpień</w:t>
            </w:r>
          </w:p>
          <w:p w14:paraId="4721BDEE" w14:textId="51B71E91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0376A" w14:textId="31ED898E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50421000-2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AC32F" w14:textId="791C7B69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ECEA5" w14:textId="54B76A12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716C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E2223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073C1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8131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4418" w:rsidRPr="00A94418" w14:paraId="0AF36393" w14:textId="77777777" w:rsidTr="00C31C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E701C" w14:textId="345D521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5396B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Przegląd techniczny</w:t>
            </w:r>
          </w:p>
          <w:p w14:paraId="51F88C65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pompy do</w:t>
            </w:r>
          </w:p>
          <w:p w14:paraId="472EE651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kontrapulsacji</w:t>
            </w:r>
            <w:proofErr w:type="spellEnd"/>
          </w:p>
          <w:p w14:paraId="6D469348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wewnątrzaortalnej</w:t>
            </w:r>
          </w:p>
          <w:p w14:paraId="478D1389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CS100 </w:t>
            </w:r>
            <w:proofErr w:type="spellStart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Datascope</w:t>
            </w:r>
            <w:proofErr w:type="spellEnd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  <w:p w14:paraId="0A335BA5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SN: SA03277-K4 w</w:t>
            </w:r>
          </w:p>
          <w:p w14:paraId="147FEA3F" w14:textId="6F4F797E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terminie luty 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A20F9" w14:textId="00C2D6EB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50421000-2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F98C4" w14:textId="56F4CB96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48CC5" w14:textId="08331A3A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914D2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790F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0F3D7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4C35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94418" w:rsidRPr="00A94418" w14:paraId="77E32759" w14:textId="77777777" w:rsidTr="00C31C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F6495" w14:textId="0BF1EF85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30533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Przegląd techniczny</w:t>
            </w:r>
          </w:p>
          <w:p w14:paraId="0A1B4DF2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pompy do</w:t>
            </w:r>
          </w:p>
          <w:p w14:paraId="5489FD47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kontrapulsacji</w:t>
            </w:r>
            <w:proofErr w:type="spellEnd"/>
          </w:p>
          <w:p w14:paraId="4CC667C1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wewnątrzaortalnej</w:t>
            </w:r>
          </w:p>
          <w:p w14:paraId="72874495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CS100 </w:t>
            </w:r>
            <w:proofErr w:type="spellStart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Datascope</w:t>
            </w:r>
            <w:proofErr w:type="spellEnd"/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  <w:p w14:paraId="4A5EF06E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SN: SA03277-K4 w</w:t>
            </w:r>
          </w:p>
          <w:p w14:paraId="373A7FCE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terminie sierpień</w:t>
            </w:r>
          </w:p>
          <w:p w14:paraId="1E72B106" w14:textId="5A45E57D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E07A0" w14:textId="7EF7F061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4418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50421000-2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753CD" w14:textId="08CDB88C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6AEAC" w14:textId="572D7759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7D619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D6037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0DD60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529E" w14:textId="77777777" w:rsidR="00A94418" w:rsidRPr="00A94418" w:rsidRDefault="00A94418" w:rsidP="00A94418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F82C3A8" w14:textId="77777777" w:rsidR="00A94418" w:rsidRDefault="00A94418" w:rsidP="00A94418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</w:p>
    <w:p w14:paraId="5AADDA06" w14:textId="610D10C0" w:rsidR="00AA2853" w:rsidRDefault="006111F7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End w:id="0"/>
      <w:r w:rsidR="00E93966" w:rsidRPr="00E93966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A94418">
        <w:rPr>
          <w:rFonts w:ascii="Garamond" w:hAnsi="Garamond"/>
          <w:b/>
          <w:bCs/>
          <w:sz w:val="20"/>
          <w:szCs w:val="20"/>
        </w:rPr>
        <w:t>dopuszcza</w:t>
      </w:r>
      <w:r w:rsidR="00E93966">
        <w:rPr>
          <w:rFonts w:ascii="Garamond" w:hAnsi="Garamond"/>
          <w:b/>
          <w:bCs/>
          <w:sz w:val="20"/>
          <w:szCs w:val="20"/>
        </w:rPr>
        <w:t>.</w:t>
      </w:r>
      <w:r w:rsidR="005F7920">
        <w:rPr>
          <w:rFonts w:ascii="Garamond" w:hAnsi="Garamond"/>
          <w:b/>
          <w:bCs/>
          <w:sz w:val="20"/>
          <w:szCs w:val="20"/>
        </w:rPr>
        <w:t xml:space="preserve"> Patrz Zmodyfikowane Zapytanie Ofertowe.</w:t>
      </w:r>
    </w:p>
    <w:p w14:paraId="035C9A87" w14:textId="77777777" w:rsidR="00A94418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328C88A" w14:textId="77777777" w:rsidR="00A94418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4C77AFA" w14:textId="6F4D31AC" w:rsidR="00A94418" w:rsidRPr="006B6DC5" w:rsidRDefault="00A94418" w:rsidP="00A9441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5" w:name="_Hlk221173883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23928AB" w14:textId="77777777" w:rsidR="00A94418" w:rsidRPr="00A94418" w:rsidRDefault="00A94418" w:rsidP="00A9441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Załącznik nr 2 § 3 ust. 3</w:t>
      </w:r>
    </w:p>
    <w:p w14:paraId="2BD297E5" w14:textId="25DA0E36" w:rsidR="00A94418" w:rsidRDefault="00A94418" w:rsidP="00A9441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Czy Zamawiający zgodzi się na zmianę terminu płatności na 30 dni?</w:t>
      </w:r>
    </w:p>
    <w:p w14:paraId="3233D97A" w14:textId="30560E80" w:rsidR="00A94418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Pr="00E93966">
        <w:rPr>
          <w:rFonts w:ascii="Garamond" w:hAnsi="Garamond"/>
          <w:b/>
          <w:bCs/>
          <w:sz w:val="20"/>
          <w:szCs w:val="20"/>
        </w:rPr>
        <w:t>Zamawiający</w:t>
      </w:r>
      <w:r>
        <w:rPr>
          <w:rFonts w:ascii="Garamond" w:hAnsi="Garamond"/>
          <w:b/>
          <w:bCs/>
          <w:sz w:val="20"/>
          <w:szCs w:val="20"/>
        </w:rPr>
        <w:t xml:space="preserve"> nie</w:t>
      </w:r>
      <w:r w:rsidRPr="00E93966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dopuszcza.</w:t>
      </w:r>
    </w:p>
    <w:p w14:paraId="0EF86262" w14:textId="77777777" w:rsidR="005F7920" w:rsidRDefault="005F7920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5"/>
    <w:p w14:paraId="715840E1" w14:textId="6714C695" w:rsidR="00A94418" w:rsidRPr="006B6DC5" w:rsidRDefault="00A94418" w:rsidP="00A9441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8F2D19A" w14:textId="77777777" w:rsidR="00A94418" w:rsidRPr="00A94418" w:rsidRDefault="00A94418" w:rsidP="00A9441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Załącznik nr 2 § 5 ust. 4</w:t>
      </w:r>
    </w:p>
    <w:p w14:paraId="346BE657" w14:textId="77777777" w:rsidR="00A94418" w:rsidRDefault="00A94418" w:rsidP="00A9441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Zwracamy się z wnioskiem o wydłużenie terminu naprawy do 5 dni roboczych. Ze względu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na zbliżający się termin zakończenia okresu wsparcia serwisowego pomp do </w:t>
      </w:r>
      <w:proofErr w:type="spellStart"/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kontrapulsacji</w:t>
      </w:r>
      <w:proofErr w:type="spellEnd"/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,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czas dostawy części zamiennych i materiałów eksploatacyjnych wydłuża się ze względu na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postępujące ograniczenia dostępności.</w:t>
      </w:r>
    </w:p>
    <w:p w14:paraId="11C0D2C8" w14:textId="4674D845" w:rsidR="00A94418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Pr="00E93966">
        <w:rPr>
          <w:rFonts w:ascii="Garamond" w:hAnsi="Garamond"/>
          <w:b/>
          <w:bCs/>
          <w:sz w:val="20"/>
          <w:szCs w:val="20"/>
        </w:rPr>
        <w:t>Zamawiający</w:t>
      </w:r>
      <w:r>
        <w:rPr>
          <w:rFonts w:ascii="Garamond" w:hAnsi="Garamond"/>
          <w:b/>
          <w:bCs/>
          <w:sz w:val="20"/>
          <w:szCs w:val="20"/>
        </w:rPr>
        <w:t xml:space="preserve"> dopuszcza.</w:t>
      </w:r>
      <w:r w:rsidR="00D156E4">
        <w:rPr>
          <w:rFonts w:ascii="Garamond" w:hAnsi="Garamond"/>
          <w:b/>
          <w:bCs/>
          <w:sz w:val="20"/>
          <w:szCs w:val="20"/>
        </w:rPr>
        <w:t xml:space="preserve"> Patrz Zmodyfikowane Zapytanie Ofertowe.</w:t>
      </w:r>
    </w:p>
    <w:p w14:paraId="27FEB2FB" w14:textId="77777777" w:rsidR="005F7920" w:rsidRPr="00A94418" w:rsidRDefault="005F7920" w:rsidP="00A9441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</w:p>
    <w:p w14:paraId="54C14E60" w14:textId="7A04D83E" w:rsidR="00A94418" w:rsidRPr="006B6DC5" w:rsidRDefault="00A94418" w:rsidP="00A9441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148792C" w14:textId="77777777" w:rsidR="00A94418" w:rsidRPr="00A94418" w:rsidRDefault="00A94418" w:rsidP="00A9441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Załącznik nr 2 § 5 ust. 6</w:t>
      </w:r>
    </w:p>
    <w:p w14:paraId="3746CCC7" w14:textId="6E1050B1" w:rsidR="00A94418" w:rsidRDefault="00A94418" w:rsidP="00A9441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Zwracamy się z wnioskiem o wydłużenie terminu usunięcia wad o charakterze materiałowym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do 5 dni roboczych. Ze względu na zbliżający się termin zakończenia okresu wsparcia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serwisowego pomp do </w:t>
      </w:r>
      <w:proofErr w:type="spellStart"/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kontrapulsacji</w:t>
      </w:r>
      <w:proofErr w:type="spellEnd"/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, czas dostawy części zamiennych i materiałów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94418">
        <w:rPr>
          <w:rFonts w:ascii="Garamond" w:eastAsia="Calibri" w:hAnsi="Garamond" w:cs="Arial"/>
          <w:kern w:val="0"/>
          <w:sz w:val="20"/>
          <w:szCs w:val="20"/>
          <w14:ligatures w14:val="none"/>
        </w:rPr>
        <w:t>eksploatacyjnych wydłuża się ze względu na postępujące ograniczenia dostępności.</w:t>
      </w:r>
    </w:p>
    <w:p w14:paraId="471F45BC" w14:textId="54A0BF88" w:rsidR="00A94418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Pr="00E93966">
        <w:rPr>
          <w:rFonts w:ascii="Garamond" w:hAnsi="Garamond"/>
          <w:b/>
          <w:bCs/>
          <w:sz w:val="20"/>
          <w:szCs w:val="20"/>
        </w:rPr>
        <w:t>Zamawiający</w:t>
      </w:r>
      <w:r>
        <w:rPr>
          <w:rFonts w:ascii="Garamond" w:hAnsi="Garamond"/>
          <w:b/>
          <w:bCs/>
          <w:sz w:val="20"/>
          <w:szCs w:val="20"/>
        </w:rPr>
        <w:t xml:space="preserve"> nie</w:t>
      </w:r>
      <w:r w:rsidRPr="00E93966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dopuszcza.</w:t>
      </w:r>
      <w:r>
        <w:rPr>
          <w:rFonts w:ascii="Garamond" w:hAnsi="Garamond"/>
          <w:b/>
          <w:bCs/>
          <w:sz w:val="20"/>
          <w:szCs w:val="20"/>
        </w:rPr>
        <w:t xml:space="preserve"> Zgodnie z SWZ.</w:t>
      </w:r>
    </w:p>
    <w:p w14:paraId="58389522" w14:textId="77777777" w:rsidR="005F7920" w:rsidRDefault="005F7920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BF422A9" w14:textId="1C9FB56C" w:rsidR="00A94418" w:rsidRPr="006B6DC5" w:rsidRDefault="00A94418" w:rsidP="00A9441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5F7920">
        <w:rPr>
          <w:rFonts w:ascii="Garamond" w:hAnsi="Garamond"/>
          <w:b/>
          <w:sz w:val="20"/>
          <w:szCs w:val="20"/>
          <w:u w:val="single"/>
        </w:rPr>
        <w:t>5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427CDA9" w14:textId="77777777" w:rsidR="005F7920" w:rsidRP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Załącznik nr 2 § 8 ust. 1. a)</w:t>
      </w:r>
    </w:p>
    <w:p w14:paraId="0CCC8511" w14:textId="1E772C49" w:rsid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W treści wzoru umowy przewidziano naliczanie kary umownej za opóźnienie w wykonaniu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zobowiązania. Mając na uwadze, że odpowiedzialność kontraktowa w tym zakresie powinna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być powiązana z zawinionym niewykonaniem lub nienależytym wykonaniem zobowiązania,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Wykonawca wnosi o zmianę postanowienia poprzez zastąpienie pojęcia „opóźnienie”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pojęciem „zwłoka”.</w:t>
      </w:r>
    </w:p>
    <w:p w14:paraId="53C278F6" w14:textId="114E8838" w:rsidR="00A94418" w:rsidRDefault="00A94418" w:rsidP="005F792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Pr="00E93966">
        <w:rPr>
          <w:rFonts w:ascii="Garamond" w:hAnsi="Garamond"/>
          <w:b/>
          <w:bCs/>
          <w:sz w:val="20"/>
          <w:szCs w:val="20"/>
        </w:rPr>
        <w:t>Zamawiający</w:t>
      </w:r>
      <w:r>
        <w:rPr>
          <w:rFonts w:ascii="Garamond" w:hAnsi="Garamond"/>
          <w:b/>
          <w:bCs/>
          <w:sz w:val="20"/>
          <w:szCs w:val="20"/>
        </w:rPr>
        <w:t xml:space="preserve"> nie</w:t>
      </w:r>
      <w:r w:rsidRPr="00E93966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dopuszcza.</w:t>
      </w:r>
    </w:p>
    <w:p w14:paraId="53B60526" w14:textId="77777777" w:rsidR="005F7920" w:rsidRDefault="005F7920" w:rsidP="005F792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EED7CB1" w14:textId="3322279E" w:rsidR="00A94418" w:rsidRPr="006B6DC5" w:rsidRDefault="00A94418" w:rsidP="00A9441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5F7920">
        <w:rPr>
          <w:rFonts w:ascii="Garamond" w:hAnsi="Garamond"/>
          <w:b/>
          <w:sz w:val="20"/>
          <w:szCs w:val="20"/>
          <w:u w:val="single"/>
        </w:rPr>
        <w:t>6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817E8DE" w14:textId="77777777" w:rsidR="005F7920" w:rsidRP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Załącznik nr 2 § 8 ust. 1. b)</w:t>
      </w:r>
    </w:p>
    <w:p w14:paraId="5304DC10" w14:textId="77777777" w:rsid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W treści wzoru umowy przewidziano naliczanie kary umownej za opóźnienie w wykonaniu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zobowiązania. Mając na uwadze, że odpowiedzialność kontraktowa w tym zakresie powinna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być powiązana z zawinionym niewykonaniem lub nienależytym wykonaniem zobowiązania,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Wykonawca wnosi o zmianę postanowienia poprzez zastąpienie pojęcia „opóźnienie”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pojęciem „</w:t>
      </w:r>
      <w:proofErr w:type="spellStart"/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zwłoka”.</w:t>
      </w:r>
      <w:proofErr w:type="spellEnd"/>
    </w:p>
    <w:p w14:paraId="547CEBFA" w14:textId="6EE14444" w:rsidR="00A94418" w:rsidRDefault="00A94418" w:rsidP="005F792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Pr="00E93966">
        <w:rPr>
          <w:rFonts w:ascii="Garamond" w:hAnsi="Garamond"/>
          <w:b/>
          <w:bCs/>
          <w:sz w:val="20"/>
          <w:szCs w:val="20"/>
        </w:rPr>
        <w:t>Zamawiający</w:t>
      </w:r>
      <w:r>
        <w:rPr>
          <w:rFonts w:ascii="Garamond" w:hAnsi="Garamond"/>
          <w:b/>
          <w:bCs/>
          <w:sz w:val="20"/>
          <w:szCs w:val="20"/>
        </w:rPr>
        <w:t xml:space="preserve"> nie</w:t>
      </w:r>
      <w:r w:rsidRPr="00E93966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dopuszcza.</w:t>
      </w:r>
    </w:p>
    <w:p w14:paraId="0821D77D" w14:textId="77777777" w:rsidR="005F7920" w:rsidRP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</w:p>
    <w:p w14:paraId="5775C217" w14:textId="1E519FCE" w:rsidR="00A94418" w:rsidRPr="006B6DC5" w:rsidRDefault="00A94418" w:rsidP="00A9441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5F7920">
        <w:rPr>
          <w:rFonts w:ascii="Garamond" w:hAnsi="Garamond"/>
          <w:b/>
          <w:sz w:val="20"/>
          <w:szCs w:val="20"/>
          <w:u w:val="single"/>
        </w:rPr>
        <w:t>7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50472E3" w14:textId="77777777" w:rsidR="005F7920" w:rsidRP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Załącznik nr 2 § 8 ust. 1. c)</w:t>
      </w:r>
    </w:p>
    <w:p w14:paraId="198FBDB3" w14:textId="77777777" w:rsid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W treści wzoru umowy przewidziano naliczanie kary umownej za opóźnienie w wykonaniu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zobowiązania. Mając na uwadze, że odpowiedzialność kontraktowa w tym zakresie powinna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być powiązana z zawinionym niewykonaniem lub nienależytym wykonaniem zobowiązania,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Wykonawca wnosi o zmianę postanowienia poprzez zastąpienie pojęcia „opóźnienie”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pojęciem „</w:t>
      </w:r>
      <w:proofErr w:type="spellStart"/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zwłoka”.</w:t>
      </w:r>
      <w:proofErr w:type="spellEnd"/>
    </w:p>
    <w:p w14:paraId="5C55C3C8" w14:textId="5BC7C2F9" w:rsidR="00A94418" w:rsidRDefault="00A94418" w:rsidP="005F792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Pr="00E93966">
        <w:rPr>
          <w:rFonts w:ascii="Garamond" w:hAnsi="Garamond"/>
          <w:b/>
          <w:bCs/>
          <w:sz w:val="20"/>
          <w:szCs w:val="20"/>
        </w:rPr>
        <w:t>Zamawiający</w:t>
      </w:r>
      <w:r>
        <w:rPr>
          <w:rFonts w:ascii="Garamond" w:hAnsi="Garamond"/>
          <w:b/>
          <w:bCs/>
          <w:sz w:val="20"/>
          <w:szCs w:val="20"/>
        </w:rPr>
        <w:t xml:space="preserve"> nie</w:t>
      </w:r>
      <w:r w:rsidRPr="00E93966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dopuszcza.</w:t>
      </w:r>
    </w:p>
    <w:p w14:paraId="668B4306" w14:textId="77777777" w:rsidR="005F7920" w:rsidRP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</w:p>
    <w:p w14:paraId="6144AB71" w14:textId="0BDAE17C" w:rsidR="00A94418" w:rsidRPr="006B6DC5" w:rsidRDefault="00A94418" w:rsidP="00A9441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5F7920">
        <w:rPr>
          <w:rFonts w:ascii="Garamond" w:hAnsi="Garamond"/>
          <w:b/>
          <w:sz w:val="20"/>
          <w:szCs w:val="20"/>
          <w:u w:val="single"/>
        </w:rPr>
        <w:t>8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E433F99" w14:textId="77777777" w:rsidR="005F7920" w:rsidRP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Załącznik nr 2 § 8</w:t>
      </w:r>
    </w:p>
    <w:p w14:paraId="3765647F" w14:textId="242AF512" w:rsid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Wykonawca wnosi o wprowadzenie do wzoru umowy maksymalnej łącznej wysokości kar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umownych, np. do określonego procentu wynagrodzenia umownego – 10%, co stanowi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powszechną i uzasadnioną praktykę rynkową, służącą zachowaniu proporcjonalności sankcji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umownych.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Proponowana treść zapisu.</w:t>
      </w:r>
    </w:p>
    <w:p w14:paraId="24ED5CE5" w14:textId="5C013D4C" w:rsidR="005F7920" w:rsidRDefault="005F7920" w:rsidP="005F792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„Łączna maksymalna wysokość kar umownych, których może dochodzić Zamawiający, nie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przekroczy łącznej 10% maksymalnej wysokości wynagrodzenia brutto, o którym mowa w §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5F7920">
        <w:rPr>
          <w:rFonts w:ascii="Garamond" w:eastAsia="Calibri" w:hAnsi="Garamond" w:cs="Arial"/>
          <w:kern w:val="0"/>
          <w:sz w:val="20"/>
          <w:szCs w:val="20"/>
          <w14:ligatures w14:val="none"/>
        </w:rPr>
        <w:t>2 ust. 1”</w:t>
      </w:r>
    </w:p>
    <w:p w14:paraId="5E5CE85A" w14:textId="229ED6EA" w:rsidR="00A94418" w:rsidRDefault="00A94418" w:rsidP="005F792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Pr="00E93966">
        <w:rPr>
          <w:rFonts w:ascii="Garamond" w:hAnsi="Garamond"/>
          <w:b/>
          <w:bCs/>
          <w:sz w:val="20"/>
          <w:szCs w:val="20"/>
        </w:rPr>
        <w:t>Zamawiający</w:t>
      </w:r>
      <w:r>
        <w:rPr>
          <w:rFonts w:ascii="Garamond" w:hAnsi="Garamond"/>
          <w:b/>
          <w:bCs/>
          <w:sz w:val="20"/>
          <w:szCs w:val="20"/>
        </w:rPr>
        <w:t xml:space="preserve"> dopuszcza.</w:t>
      </w:r>
      <w:r w:rsidR="005F7920">
        <w:rPr>
          <w:rFonts w:ascii="Garamond" w:hAnsi="Garamond"/>
          <w:b/>
          <w:bCs/>
          <w:sz w:val="20"/>
          <w:szCs w:val="20"/>
        </w:rPr>
        <w:t xml:space="preserve"> Patrz Zmodyfikowane Zapytanie Ofertowe.</w:t>
      </w:r>
    </w:p>
    <w:p w14:paraId="217E07B0" w14:textId="77777777" w:rsidR="00A94418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C76F3FA" w14:textId="77777777" w:rsidR="00A94418" w:rsidRPr="00AA2853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1"/>
    <w:bookmarkEnd w:id="2"/>
    <w:bookmarkEnd w:id="3"/>
    <w:bookmarkEnd w:id="4"/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93633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5F7920"/>
    <w:rsid w:val="0060730C"/>
    <w:rsid w:val="006111F7"/>
    <w:rsid w:val="00614A51"/>
    <w:rsid w:val="00620C2F"/>
    <w:rsid w:val="00640099"/>
    <w:rsid w:val="00672E3D"/>
    <w:rsid w:val="0068602A"/>
    <w:rsid w:val="006900F5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94418"/>
    <w:rsid w:val="00AA0C2D"/>
    <w:rsid w:val="00AA1ECD"/>
    <w:rsid w:val="00AA2853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156E4"/>
    <w:rsid w:val="00D16297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93966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82</cp:revision>
  <cp:lastPrinted>2025-05-19T05:48:00Z</cp:lastPrinted>
  <dcterms:created xsi:type="dcterms:W3CDTF">2024-09-17T06:10:00Z</dcterms:created>
  <dcterms:modified xsi:type="dcterms:W3CDTF">2026-02-05T08:17:00Z</dcterms:modified>
</cp:coreProperties>
</file>