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D0AC3D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92EF3">
        <w:rPr>
          <w:rFonts w:ascii="Garamond" w:hAnsi="Garamond"/>
          <w:sz w:val="20"/>
          <w:szCs w:val="20"/>
        </w:rPr>
        <w:t>14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3096490A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3774E7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2EF3">
        <w:rPr>
          <w:rFonts w:ascii="Garamond" w:hAnsi="Garamond"/>
          <w:b/>
          <w:sz w:val="20"/>
          <w:szCs w:val="20"/>
        </w:rPr>
        <w:t>10</w:t>
      </w:r>
      <w:r w:rsidR="00D94A5F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585BB5F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bookmarkStart w:id="1" w:name="_Hlk226975807"/>
      <w:r w:rsidR="00A92EF3" w:rsidRPr="00A92EF3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A92EF3" w:rsidRPr="00A92EF3">
        <w:rPr>
          <w:rFonts w:ascii="Garamond" w:hAnsi="Garamond"/>
          <w:b/>
          <w:bCs/>
          <w:sz w:val="20"/>
          <w:szCs w:val="20"/>
        </w:rPr>
        <w:t>MATERIAŁÓW DEZYNFEKCYJNYCH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4543800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2"/>
    <w:p w14:paraId="09A05F6C" w14:textId="2CDF42BA" w:rsidR="00A1262C" w:rsidRDefault="00A1262C" w:rsidP="00A1262C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d</w:t>
      </w:r>
      <w:r w:rsidRPr="00A1262C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otyczy Pakietu nr 2: </w:t>
      </w:r>
    </w:p>
    <w:p w14:paraId="7555467F" w14:textId="77777777" w:rsidR="00A92EF3" w:rsidRPr="00A92EF3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Zwracamy się z prośbą do Zamawiającego o dopuszczenie w pozycji 4 preparatu o następujących parametrach: </w:t>
      </w:r>
      <w:bookmarkStart w:id="6" w:name="OLE_LINK8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Preparat w postaci koncentratu do mycia i dezynfekcji systemów ssących, separatorów amalgamatu i misek unitu stomatologicznego. Zapobiegający powstawaniu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biofilmu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, z możliwością stosowania do wanien z hydromasażem. Preparat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niepieinący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ważne w dezynfekcji systemów zamkniętych. Bez aldehydów i fenoli. Spektrum działania: B (MRSA), F (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C.albicans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), V (HBV, HCV, HIV, HSV, wirus grypy) w czasie 15 min, w stężeniu 2%,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Tbc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(.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tuberculosis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 w 4% w 60 minut.  Opakowanie 1 l – Wykonawca zobowiązuje się do przeliczenia ilości zgodnie z zapotrzebowaniem Zamawiającego. </w:t>
      </w:r>
    </w:p>
    <w:bookmarkEnd w:id="6"/>
    <w:p w14:paraId="04931477" w14:textId="11BC2CD6" w:rsidR="00D94A5F" w:rsidRPr="00D94A5F" w:rsidRDefault="00D94A5F" w:rsidP="00D94A5F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92EF3">
        <w:rPr>
          <w:rFonts w:ascii="Garamond" w:hAnsi="Garamond"/>
          <w:b/>
          <w:bCs/>
          <w:sz w:val="20"/>
          <w:szCs w:val="20"/>
          <w:u w:val="single"/>
        </w:rPr>
        <w:t>NIE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 xml:space="preserve">, Zamawiający </w:t>
      </w:r>
      <w:r w:rsidR="00A92EF3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="00C35948">
        <w:rPr>
          <w:rFonts w:ascii="Garamond" w:hAnsi="Garamond"/>
          <w:b/>
          <w:bCs/>
          <w:sz w:val="20"/>
          <w:szCs w:val="20"/>
          <w:u w:val="single"/>
        </w:rPr>
        <w:t>dopuszcza.</w:t>
      </w:r>
    </w:p>
    <w:p w14:paraId="761AE663" w14:textId="554C9727" w:rsidR="00A92EF3" w:rsidRPr="003E3AC5" w:rsidRDefault="00A92EF3" w:rsidP="00A92EF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7" w:name="_Hlk227070016"/>
      <w:bookmarkEnd w:id="3"/>
      <w:bookmarkEnd w:id="4"/>
      <w:bookmarkEnd w:id="5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01055BA1" w14:textId="77777777" w:rsidR="00A92EF3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d</w:t>
      </w:r>
      <w:r w:rsidRPr="00A1262C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otyczy Pakietu nr 2: </w:t>
      </w:r>
    </w:p>
    <w:p w14:paraId="58D146DE" w14:textId="77777777" w:rsidR="00A92EF3" w:rsidRPr="00A92EF3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Zwracamy się z prośbą do Zamawiającego o dopuszczenie w pozycji 5 preparatu o następujących parametrach: Preparat w postaci koncentratu do mycia i dezynfekcji systemów ssących, separatorów amalgamatu i misek unitu stomatologicznego. Zapobiegający powstawaniu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biofilmu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, z możliwością stosowania do wanien z hydromasażem. Preparat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niepieinący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- ważne w dezynfekcji systemów zamkniętych. Bez aldehydów i fenoli. Spektrum działania: B (MRSA), F (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C.albicans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), V (HBV, HCV, HIV, HSV, wirus grypy) w czasie 15 min, w stężeniu 2%,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Tbc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(.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tuberculosis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 w 4% w 60 minut.  Opakowanie 1 l – Wykonawca zobowiązuje się do przeliczenia ilości zgodnie z zapotrzebowaniem Zamawiającego. </w:t>
      </w:r>
    </w:p>
    <w:p w14:paraId="15C0A9FA" w14:textId="77777777" w:rsidR="00A92EF3" w:rsidRPr="00D94A5F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bookmarkEnd w:id="7"/>
    <w:p w14:paraId="3C82886C" w14:textId="77777777" w:rsidR="00A92EF3" w:rsidRPr="003E3AC5" w:rsidRDefault="00A92EF3" w:rsidP="00A92EF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76B86E13" w14:textId="77777777" w:rsidR="00A92EF3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d</w:t>
      </w:r>
      <w:r w:rsidRPr="00A1262C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otyczy Pakietu nr 2: </w:t>
      </w:r>
    </w:p>
    <w:p w14:paraId="0637C578" w14:textId="77777777" w:rsidR="00A92EF3" w:rsidRPr="00A92EF3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Zwracamy się z prośbą do Zamawiającego o dopuszczenie w pozycji 3 preparatu o następujących parametrach: Enzymatyczny koncentrat do mycia i dezynfekcji narzędzi chirurgicznych i rotacyjnych na bazie amin, QAV. Zawierający proteazę rozkładającą białka oraz inhibitory korozji. Usuwa zaschnięte zabrudzenia organiczne, doczyszcza zanieczyszczenia białkowe. Przeznaczony do dezynfekcji manualnej oraz w myjkach ultradźwiękowych. Zalecany do endoskopów, posiadający opinię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Vimex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. Wysoka tolerancja materiałowa, może być stosowany do instrumentów ze stali szlachetnej, niklu, miedzi, aluminium, porcelany, szkła, gumy, tworzyw sztucznych. Produkt posiada opinię producenta Chirmed.dot. kompatybilności materiałowej. Aktywność nieskażonego roztworu - 14 dni. Spektrum działania: bakterie(w tym MRSA), grzyby (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C.albicans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i A.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brasiliensis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), prątki (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M.terrae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,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M.avium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), wirusy otoczkowe (HIV, HBV, HCV, HSV, grypa,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ebola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), wirus </w:t>
      </w:r>
      <w:proofErr w:type="spellStart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>Adeno</w:t>
      </w:r>
      <w:proofErr w:type="spellEnd"/>
      <w:r w:rsidRPr="00A92EF3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w czasie do 30 minut i stężeniu 0,5%, wirus Polio w czasie 15 minut i stężeniu 1%, wirus Noro - 4% 15 min. - pełna wirusobójczość i grzybobójczość. Produkt przebadany według norm obszaru medycznego, faza 2.2, wirusy - faza 2.1. oraz 2.2 (pełna wirusobójczość) dedykowanej dla narzędzi. Opakowanie 1l</w:t>
      </w:r>
    </w:p>
    <w:p w14:paraId="394CD051" w14:textId="77777777" w:rsidR="00A92EF3" w:rsidRPr="00D94A5F" w:rsidRDefault="00A92EF3" w:rsidP="00A92EF3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NIE, Zamawiający nie dopuszcza.</w:t>
      </w:r>
    </w:p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5F4BB9"/>
    <w:multiLevelType w:val="hybridMultilevel"/>
    <w:tmpl w:val="F4F01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7"/>
  </w:num>
  <w:num w:numId="6" w16cid:durableId="1215241211">
    <w:abstractNumId w:val="2"/>
  </w:num>
  <w:num w:numId="7" w16cid:durableId="268198183">
    <w:abstractNumId w:val="34"/>
  </w:num>
  <w:num w:numId="8" w16cid:durableId="1340541815">
    <w:abstractNumId w:val="3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8"/>
  </w:num>
  <w:num w:numId="21" w16cid:durableId="622468756">
    <w:abstractNumId w:val="24"/>
  </w:num>
  <w:num w:numId="22" w16cid:durableId="203636352">
    <w:abstractNumId w:val="21"/>
  </w:num>
  <w:num w:numId="23" w16cid:durableId="917859365">
    <w:abstractNumId w:val="30"/>
  </w:num>
  <w:num w:numId="24" w16cid:durableId="403308546">
    <w:abstractNumId w:val="37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6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2"/>
  </w:num>
  <w:num w:numId="31" w16cid:durableId="1250507151">
    <w:abstractNumId w:val="29"/>
  </w:num>
  <w:num w:numId="32" w16cid:durableId="611669992">
    <w:abstractNumId w:val="25"/>
  </w:num>
  <w:num w:numId="33" w16cid:durableId="630940175">
    <w:abstractNumId w:val="10"/>
  </w:num>
  <w:num w:numId="34" w16cid:durableId="1397053060">
    <w:abstractNumId w:val="33"/>
  </w:num>
  <w:num w:numId="35" w16cid:durableId="1233349498">
    <w:abstractNumId w:val="36"/>
  </w:num>
  <w:num w:numId="36" w16cid:durableId="831141398">
    <w:abstractNumId w:val="9"/>
  </w:num>
  <w:num w:numId="37" w16cid:durableId="919755920">
    <w:abstractNumId w:val="12"/>
  </w:num>
  <w:num w:numId="38" w16cid:durableId="13649849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5239E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1FED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92EF3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35948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105</cp:revision>
  <cp:lastPrinted>2026-03-10T07:37:00Z</cp:lastPrinted>
  <dcterms:created xsi:type="dcterms:W3CDTF">2024-09-17T06:10:00Z</dcterms:created>
  <dcterms:modified xsi:type="dcterms:W3CDTF">2026-04-14T12:42:00Z</dcterms:modified>
</cp:coreProperties>
</file>