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32AE333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B2949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160329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.202</w:t>
      </w:r>
      <w:r w:rsidR="00160329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2B4D03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FB2949">
        <w:rPr>
          <w:rFonts w:ascii="Garamond" w:hAnsi="Garamond"/>
          <w:sz w:val="20"/>
          <w:szCs w:val="20"/>
          <w:u w:val="single"/>
        </w:rPr>
        <w:t>II</w:t>
      </w:r>
    </w:p>
    <w:p w14:paraId="22C78133" w14:textId="3691DC3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60329">
        <w:rPr>
          <w:rFonts w:ascii="Garamond" w:hAnsi="Garamond"/>
          <w:b/>
          <w:sz w:val="20"/>
          <w:szCs w:val="20"/>
        </w:rPr>
        <w:t>1</w:t>
      </w:r>
      <w:r w:rsidR="005365CD">
        <w:rPr>
          <w:rFonts w:ascii="Garamond" w:hAnsi="Garamond"/>
          <w:b/>
          <w:sz w:val="20"/>
          <w:szCs w:val="20"/>
        </w:rPr>
        <w:t>72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160329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644D0D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365CD" w:rsidRPr="005365CD">
        <w:rPr>
          <w:rFonts w:ascii="Garamond" w:hAnsi="Garamond"/>
          <w:b/>
          <w:bCs/>
          <w:color w:val="000000"/>
          <w:sz w:val="20"/>
          <w:szCs w:val="20"/>
        </w:rPr>
        <w:t>DOSTAWY LEKU GASTROLOGICZNEGO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233376664"/>
      <w:bookmarkStart w:id="1" w:name="_Hlk190694491"/>
      <w:bookmarkStart w:id="2" w:name="_Hlk185837400"/>
      <w:bookmarkStart w:id="3" w:name="_Hlk184712695"/>
      <w:bookmarkStart w:id="4" w:name="_Hlk182913828"/>
      <w:bookmarkStart w:id="5" w:name="_Hlk233711454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7CAC597B" w14:textId="5B91B06B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_Hlk233349323"/>
      <w:bookmarkEnd w:id="5"/>
      <w:r w:rsidRPr="00FB2949">
        <w:rPr>
          <w:rFonts w:ascii="Garamond" w:hAnsi="Garamond"/>
          <w:sz w:val="20"/>
          <w:szCs w:val="20"/>
          <w:u w:val="single"/>
        </w:rPr>
        <w:t>Do §2 ust. 5 wzoru umowy</w:t>
      </w:r>
      <w:r w:rsidRPr="00FB2949">
        <w:rPr>
          <w:rFonts w:ascii="Garamond" w:hAnsi="Garamond"/>
          <w:sz w:val="20"/>
          <w:szCs w:val="20"/>
        </w:rPr>
        <w:t>. Prosimy o skonkretyzowanie granicznych wartości dla poszczególnych pozycji asortymentowych, jakie Zamawiający zamierza zrealizować, np. poprzez podanie, że zmiany ilości produktów określonych w formularzu asortymentowo – cenowym mogą ulec zmniejszeniu lub zwiększeniu w granicach +/- 20%, przy czym przez takie sformułowanie Zamawiający będzie rozumiał możliwość zamówienia o 20% mniejszych lub o 20% większych ilości, każdego z zamówionych asortymentów. Aktualna treść tych zapisów jest na tyle ogólna oraz nieprecyzyjna, że na jej podstawie wykonawcy nie są w stanie określić faktycznej wielkości przedmiotu zamówienia w zakresie poszczególnych pozycji asortymentowych, a tym samym, nie są w stanie dokonać prawidłowej kalkulacji cen na potrzeby składanej oferty.</w:t>
      </w:r>
    </w:p>
    <w:p w14:paraId="7AF1C84E" w14:textId="77777777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</w:rPr>
        <w:t> </w:t>
      </w:r>
    </w:p>
    <w:p w14:paraId="289E45A8" w14:textId="77777777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</w:rPr>
        <w:t xml:space="preserve">Nasza prośba znajduje uzasadnienie w wyroku z dnia 17 listopada 2023 roku (sygn.: KIO 3212/23), w którym Krajowa Izba Odwoławcza uwzględniła odwołanie wniesione przez wykonawcę </w:t>
      </w:r>
      <w:proofErr w:type="spellStart"/>
      <w:r w:rsidRPr="00FB2949">
        <w:rPr>
          <w:rFonts w:ascii="Garamond" w:hAnsi="Garamond"/>
          <w:sz w:val="20"/>
          <w:szCs w:val="20"/>
        </w:rPr>
        <w:t>Urtica</w:t>
      </w:r>
      <w:proofErr w:type="spellEnd"/>
      <w:r w:rsidRPr="00FB2949">
        <w:rPr>
          <w:rFonts w:ascii="Garamond" w:hAnsi="Garamond"/>
          <w:sz w:val="20"/>
          <w:szCs w:val="20"/>
        </w:rPr>
        <w:t xml:space="preserve"> Sp. z o.o. z siedzibą we Wrocławiu, dotyczące analogicznych postanowień umownych, w postępowaniu zorganizowanym przez Szpital Specjalistyczny im. E. Biernackiego w Mielcu, którego przedmiotem były dostawy produktów leczniczych oraz wyrobów medycznych, uznając za uzasadnione zarzuty naruszenia art. 99 ust. 1, art. 433 pkt 4 oraz art. 441 ust. 1 ustawy z dnia 11 września 2019 r. Prawo Zamówień Publicznych (Dz. U. 2024 poz. 1320 ze zm.). We wspomnianym wyroku, KIO nie tylko stwierdziła, że Zamawiający jest bezwzględnie zobowiązany </w:t>
      </w:r>
      <w:r w:rsidRPr="00FB2949">
        <w:rPr>
          <w:rFonts w:ascii="Garamond" w:hAnsi="Garamond"/>
          <w:sz w:val="20"/>
          <w:szCs w:val="20"/>
          <w:u w:val="single"/>
        </w:rPr>
        <w:t>wskazać minimalną ilość każdego zamawianego produktu</w:t>
      </w:r>
      <w:r w:rsidRPr="00FB2949">
        <w:rPr>
          <w:rFonts w:ascii="Garamond" w:hAnsi="Garamond"/>
          <w:sz w:val="20"/>
          <w:szCs w:val="20"/>
        </w:rPr>
        <w:t xml:space="preserve">, zgodnie z treścią wynikającą z art. 433 pkt 4 PZP, lecz przede wszystkim uznała, że Zamawiający ma bezwzględny obowiązek </w:t>
      </w:r>
      <w:r w:rsidRPr="00FB2949">
        <w:rPr>
          <w:rFonts w:ascii="Garamond" w:hAnsi="Garamond"/>
          <w:sz w:val="20"/>
          <w:szCs w:val="20"/>
          <w:u w:val="single"/>
        </w:rPr>
        <w:t>wskazać w zakresie każdego zamawianego produktu, jego ilość, do której zamierza zwiększyć zakres zamówienia</w:t>
      </w:r>
      <w:r w:rsidRPr="00FB2949">
        <w:rPr>
          <w:rFonts w:ascii="Garamond" w:hAnsi="Garamond"/>
          <w:sz w:val="20"/>
          <w:szCs w:val="20"/>
        </w:rPr>
        <w:t> w ramach korzystania z prawa opcji, co z kolei wynika z treści art. 441 ust. 1 PZP.</w:t>
      </w:r>
    </w:p>
    <w:p w14:paraId="5AE31878" w14:textId="77777777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</w:rPr>
        <w:t> </w:t>
      </w:r>
    </w:p>
    <w:p w14:paraId="552E96A6" w14:textId="77777777" w:rsid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</w:rPr>
        <w:t xml:space="preserve">KIO uznała, że opis przedmiotu zamówienia, który przewiduje </w:t>
      </w:r>
      <w:r w:rsidRPr="00FB2949">
        <w:rPr>
          <w:rFonts w:ascii="Garamond" w:hAnsi="Garamond"/>
          <w:sz w:val="20"/>
          <w:szCs w:val="20"/>
          <w:u w:val="single"/>
        </w:rPr>
        <w:t>dowolne zwiększanie lub zmniejszanie ilości</w:t>
      </w:r>
      <w:r w:rsidRPr="00FB2949">
        <w:rPr>
          <w:rFonts w:ascii="Garamond" w:hAnsi="Garamond"/>
          <w:sz w:val="20"/>
          <w:szCs w:val="20"/>
        </w:rPr>
        <w:t> produktów z wybranych pozycji asortymentu, w tym całkowitą rezygnację z niektórych pozycji asortymentu, należy uznać za</w:t>
      </w:r>
      <w:r w:rsidRPr="00FB2949">
        <w:rPr>
          <w:rFonts w:ascii="Garamond" w:hAnsi="Garamond"/>
          <w:sz w:val="20"/>
          <w:szCs w:val="20"/>
          <w:u w:val="single"/>
        </w:rPr>
        <w:t> niejednoznaczny, niewyczerpujący, nieprecyzyjny</w:t>
      </w:r>
      <w:r w:rsidRPr="00FB2949">
        <w:rPr>
          <w:rFonts w:ascii="Garamond" w:hAnsi="Garamond"/>
          <w:sz w:val="20"/>
          <w:szCs w:val="20"/>
        </w:rPr>
        <w:t xml:space="preserve">, a także nieuwzględniający wszystkich wymagań oraz okoliczności, mogących mieć wpływ na sporządzenie oferty. Izba zauważyła, że </w:t>
      </w:r>
      <w:r w:rsidRPr="00FB2949">
        <w:rPr>
          <w:rFonts w:ascii="Garamond" w:hAnsi="Garamond"/>
          <w:sz w:val="20"/>
          <w:szCs w:val="20"/>
          <w:u w:val="single"/>
        </w:rPr>
        <w:t>możliwość zwiększenia zakresu zamówienia w istocie stanowi opcję, co potwierdza art. 31 ust. 2 PZP</w:t>
      </w:r>
      <w:r w:rsidRPr="00FB2949">
        <w:rPr>
          <w:rFonts w:ascii="Garamond" w:hAnsi="Garamond"/>
          <w:sz w:val="20"/>
          <w:szCs w:val="20"/>
        </w:rPr>
        <w:t xml:space="preserve">, z którego wynika, że przy ustaleniu wartości zamówienia uwzględnia się największy możliwy zakres tego zamówienia z uwzględnieniem opcji. KIO potwierdziła, że przy ograniczaniu zakresu zamówienia należy przestrzegać zasady wynikającej z </w:t>
      </w:r>
      <w:bookmarkStart w:id="7" w:name="x_x_x_x_x__Hlk194581227"/>
      <w:r w:rsidRPr="00FB2949">
        <w:rPr>
          <w:rFonts w:ascii="Garamond" w:hAnsi="Garamond"/>
          <w:sz w:val="20"/>
          <w:szCs w:val="20"/>
        </w:rPr>
        <w:t>art. 433 pkt 4 PZP</w:t>
      </w:r>
      <w:bookmarkEnd w:id="7"/>
      <w:r w:rsidRPr="00FB2949">
        <w:rPr>
          <w:rFonts w:ascii="Garamond" w:hAnsi="Garamond"/>
          <w:sz w:val="20"/>
          <w:szCs w:val="20"/>
        </w:rPr>
        <w:t xml:space="preserve">, zaś w zakresie, gdzie zwiększenie zakresu zamówienia stanowi opcję, należy stosować się do reguł wynikających z art. 441 ust. 1 PZP. Wynika z tego, że Zamawiający ma możliwość zastrzeżenia w umowie „opcji w górę”, przewidującej zwiększenie zakresu zamówienia oraz „opcji w dół”, pozwalającej na ograniczenie zakresu zamówienia. Nie jest nieprawidłowe zawarcie obu tych możliwości w jednym postanowieniu umowy lub powiązanie ich ze sobą, ale trzeba mieć na uwadze, że zapisy umowy dotyczące zmian ilości asortymentu będą pozostawać zgodne z art. 433 pkt 4 PZP oraz art. 441 ust. 1 PZP wyłącznie, gdy w treści umowy </w:t>
      </w:r>
      <w:r w:rsidRPr="00FB2949">
        <w:rPr>
          <w:rFonts w:ascii="Garamond" w:hAnsi="Garamond"/>
          <w:sz w:val="20"/>
          <w:szCs w:val="20"/>
          <w:u w:val="single"/>
        </w:rPr>
        <w:t>zostaną dokładnie określone granice zmian ilościowych „w dół” i „w górę” w odniesieniu do poszczególnych pozycji asortymentowych</w:t>
      </w:r>
      <w:r w:rsidRPr="00FB2949">
        <w:rPr>
          <w:rFonts w:ascii="Garamond" w:hAnsi="Garamond"/>
          <w:sz w:val="20"/>
          <w:szCs w:val="20"/>
        </w:rPr>
        <w:t>. Ponadto, wszelkie okoliczności, które powodują, że Zamawiający nie jest w stanie przewidzieć, ile dokładnie poszczególnych produktów potrzebuje do udzielania świadczeń zdrowotnych, nie stanowią uzasadnienia dla naruszania art. 99 ust. 1 PZP, art. 433 pkt 4 PZP i art. 441 ust. 1 PZP, ponieważ normy te mają charakter bezwzględnie obowiązujący, więc nie podlegają ograniczeniu lub wyłączeniu przez inne przepisy.</w:t>
      </w:r>
    </w:p>
    <w:p w14:paraId="6556BEBF" w14:textId="6A559338" w:rsidR="00FB2949" w:rsidRPr="00FB2949" w:rsidRDefault="00FB2949" w:rsidP="00FB2949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FB2949">
        <w:rPr>
          <w:rFonts w:ascii="Garamond" w:hAnsi="Garamond" w:cstheme="minorHAnsi"/>
          <w:b/>
          <w:bCs/>
          <w:sz w:val="20"/>
          <w:szCs w:val="20"/>
        </w:rPr>
        <w:t>Zamawiający określa przewidywane ilości zakupu lecz to stan kliniczny pacjenta zdecyduje o ilości zakupu danego leku z danej pozycji, są to leki które zamawiający planuje podać  pierwszorazowo pacjentowi, nie jest to kontynuacja leczenia,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Pr="00FB2949">
        <w:rPr>
          <w:rFonts w:ascii="Garamond" w:hAnsi="Garamond" w:cstheme="minorHAnsi"/>
          <w:b/>
          <w:bCs/>
          <w:sz w:val="20"/>
          <w:szCs w:val="20"/>
        </w:rPr>
        <w:t xml:space="preserve">dlatego tez </w:t>
      </w:r>
      <w:r>
        <w:rPr>
          <w:rFonts w:ascii="Garamond" w:hAnsi="Garamond" w:cstheme="minorHAnsi"/>
          <w:b/>
          <w:bCs/>
          <w:sz w:val="20"/>
          <w:szCs w:val="20"/>
        </w:rPr>
        <w:t>Z</w:t>
      </w:r>
      <w:r w:rsidRPr="00FB2949">
        <w:rPr>
          <w:rFonts w:ascii="Garamond" w:hAnsi="Garamond" w:cstheme="minorHAnsi"/>
          <w:b/>
          <w:bCs/>
          <w:sz w:val="20"/>
          <w:szCs w:val="20"/>
        </w:rPr>
        <w:t xml:space="preserve">amawiający nie określa granicznych ilości , jedynie na poziomie 50 % wartości wykorzystania umowy. </w:t>
      </w:r>
    </w:p>
    <w:p w14:paraId="77563D16" w14:textId="72F2F221" w:rsidR="00FB2949" w:rsidRPr="00FB2949" w:rsidRDefault="00FB2949" w:rsidP="00FB294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8" w:name="_Hlk233711469"/>
      <w:r w:rsidRPr="00FB2949">
        <w:rPr>
          <w:rFonts w:ascii="Garamond" w:hAnsi="Garamond"/>
          <w:b/>
          <w:bCs/>
          <w:sz w:val="20"/>
          <w:szCs w:val="20"/>
        </w:rPr>
        <w:t> 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8"/>
    <w:p w14:paraId="1CEE7A07" w14:textId="77777777" w:rsid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  <w:u w:val="single"/>
        </w:rPr>
        <w:t>Do §8 ust. 4 wzoru umowy</w:t>
      </w:r>
      <w:r w:rsidRPr="00FB2949">
        <w:rPr>
          <w:rFonts w:ascii="Garamond" w:hAnsi="Garamond"/>
          <w:sz w:val="20"/>
          <w:szCs w:val="20"/>
        </w:rPr>
        <w:t>: Prosimy o potwierdzenie, że w przypadku opóźnienia z wykonaniem przedmiotu zamówienia lub poinformowania o braku możliwości realizacji zamówienia oraz dokonania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70305EC1" w14:textId="24B054D0" w:rsidR="00FB2949" w:rsidRPr="00FB2949" w:rsidRDefault="00FB2949" w:rsidP="00FB2949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>NIE, Zamawiający nie potwierdza.</w:t>
      </w:r>
    </w:p>
    <w:p w14:paraId="3ABC3FB6" w14:textId="709D1DE0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2E4E9B4" w14:textId="187AA643" w:rsidR="00FB2949" w:rsidRPr="00FB2949" w:rsidRDefault="00FB2949" w:rsidP="00FB294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B2949">
        <w:rPr>
          <w:rFonts w:ascii="Garamond" w:hAnsi="Garamond"/>
          <w:sz w:val="20"/>
          <w:szCs w:val="20"/>
          <w:u w:val="single"/>
        </w:rPr>
        <w:t xml:space="preserve">Do §10 ust. 2 wzoru umowy. </w:t>
      </w:r>
      <w:r w:rsidRPr="00FB2949">
        <w:rPr>
          <w:rFonts w:ascii="Garamond" w:hAnsi="Garamond"/>
          <w:sz w:val="20"/>
          <w:szCs w:val="20"/>
        </w:rPr>
        <w:t xml:space="preserve">Prosimy o zmianę lub wykreślenie treści §10 ust. 2 fragmentu „Kupujący uprawniony będzie, na podstawie jednostronnego oświadczenia, (…), do przedłużenia terminu obowiązywania umowy…”, poprzez jednoznaczne wskazanie, że ewentualne przedłużenie okresu obowiązywania umowy, następowało będzie </w:t>
      </w:r>
      <w:r w:rsidRPr="00FB2949">
        <w:rPr>
          <w:rFonts w:ascii="Garamond" w:hAnsi="Garamond"/>
          <w:sz w:val="20"/>
          <w:szCs w:val="20"/>
          <w:u w:val="single"/>
        </w:rPr>
        <w:t>po obopólnym wyrażeniu zgody przez strony</w:t>
      </w:r>
      <w:r w:rsidRPr="00FB2949">
        <w:rPr>
          <w:rFonts w:ascii="Garamond" w:hAnsi="Garamond"/>
          <w:sz w:val="20"/>
          <w:szCs w:val="20"/>
        </w:rPr>
        <w:t>, w formie pisemne. Z aktualnego brzmienia zapisu w §10ust. 2 wynika, że w wyniku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Ponadto zapis zawarty w §10 ust. 2 jest niezgodny z przepisami z art. 432 i art. 434 ustawy PZP, zatem pozostawienie klauzuli w zakresie jednostronnego przedłużenia umowy może powodować nieważność tych zapisów.</w:t>
      </w:r>
    </w:p>
    <w:p w14:paraId="641411EC" w14:textId="1D4CCE54" w:rsidR="00B622F2" w:rsidRDefault="009F6872" w:rsidP="005365C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9" w:name="_Hlk233711504"/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0" w:name="_Hlk233376725"/>
      <w:bookmarkStart w:id="11" w:name="_Hlk194405447"/>
      <w:r w:rsidR="00FB2949"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Postępowanie prowadzone jest z wyłączeniem przepisów </w:t>
      </w:r>
      <w:proofErr w:type="spellStart"/>
      <w:r w:rsidR="00FB2949">
        <w:rPr>
          <w:rFonts w:ascii="Garamond" w:hAnsi="Garamond" w:cstheme="minorHAnsi"/>
          <w:b/>
          <w:bCs/>
          <w:sz w:val="20"/>
          <w:szCs w:val="20"/>
        </w:rPr>
        <w:t>Pzp</w:t>
      </w:r>
      <w:proofErr w:type="spellEnd"/>
      <w:r w:rsidR="00FB2949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019F138" w14:textId="77777777" w:rsidR="00FB2949" w:rsidRDefault="00FB2949" w:rsidP="005365C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0"/>
    <w:bookmarkEnd w:id="10"/>
    <w:bookmarkEnd w:id="6"/>
    <w:bookmarkEnd w:id="11"/>
    <w:bookmarkEnd w:id="1"/>
    <w:bookmarkEnd w:id="2"/>
    <w:bookmarkEnd w:id="3"/>
    <w:bookmarkEnd w:id="4"/>
    <w:bookmarkEnd w:id="9"/>
    <w:p w14:paraId="21059B82" w14:textId="71B22FA4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60329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A3641"/>
    <w:rsid w:val="002B29F9"/>
    <w:rsid w:val="002B4E6B"/>
    <w:rsid w:val="002B75CB"/>
    <w:rsid w:val="002E3B72"/>
    <w:rsid w:val="002F0160"/>
    <w:rsid w:val="002F7F91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374FE"/>
    <w:rsid w:val="00442E59"/>
    <w:rsid w:val="00443584"/>
    <w:rsid w:val="00444CA8"/>
    <w:rsid w:val="00457FD7"/>
    <w:rsid w:val="00465ED0"/>
    <w:rsid w:val="00486330"/>
    <w:rsid w:val="004C585C"/>
    <w:rsid w:val="004C59F0"/>
    <w:rsid w:val="00503F5E"/>
    <w:rsid w:val="005146FB"/>
    <w:rsid w:val="005365CD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C6F15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C54AB"/>
    <w:rsid w:val="009352EE"/>
    <w:rsid w:val="00951466"/>
    <w:rsid w:val="00987BFC"/>
    <w:rsid w:val="009908C9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CF7D7B"/>
    <w:rsid w:val="00D54EA2"/>
    <w:rsid w:val="00D635B5"/>
    <w:rsid w:val="00DB20D9"/>
    <w:rsid w:val="00DE4504"/>
    <w:rsid w:val="00E1383E"/>
    <w:rsid w:val="00E27326"/>
    <w:rsid w:val="00E32039"/>
    <w:rsid w:val="00E5759A"/>
    <w:rsid w:val="00E85643"/>
    <w:rsid w:val="00EC7C00"/>
    <w:rsid w:val="00ED3F7B"/>
    <w:rsid w:val="00ED3FD4"/>
    <w:rsid w:val="00F11CAE"/>
    <w:rsid w:val="00F375CF"/>
    <w:rsid w:val="00F403AB"/>
    <w:rsid w:val="00F62B58"/>
    <w:rsid w:val="00F75676"/>
    <w:rsid w:val="00F77BAF"/>
    <w:rsid w:val="00FA0FE7"/>
    <w:rsid w:val="00FB2949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60</cp:revision>
  <cp:lastPrinted>2025-01-22T13:23:00Z</cp:lastPrinted>
  <dcterms:created xsi:type="dcterms:W3CDTF">2024-09-17T06:10:00Z</dcterms:created>
  <dcterms:modified xsi:type="dcterms:W3CDTF">2026-06-30T09:34:00Z</dcterms:modified>
</cp:coreProperties>
</file>