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41374" w14:textId="5D98BBC5" w:rsidR="00D84C9E" w:rsidRPr="007203C0" w:rsidRDefault="00D84C9E" w:rsidP="00D84C9E">
      <w:pPr>
        <w:jc w:val="both"/>
        <w:rPr>
          <w:sz w:val="28"/>
          <w:szCs w:val="28"/>
        </w:rPr>
      </w:pPr>
      <w:bookmarkStart w:id="0" w:name="_GoBack"/>
      <w:bookmarkEnd w:id="0"/>
      <w:r w:rsidRPr="00D84C9E">
        <w:rPr>
          <w:sz w:val="28"/>
          <w:szCs w:val="28"/>
        </w:rPr>
        <w:t>Analiza wyboru technologii wykonania obiektu</w:t>
      </w:r>
    </w:p>
    <w:p w14:paraId="39650FCF" w14:textId="60430B50" w:rsidR="00D84C9E" w:rsidRDefault="00D84C9E" w:rsidP="00D84C9E">
      <w:pPr>
        <w:ind w:firstLine="708"/>
        <w:jc w:val="both"/>
      </w:pPr>
      <w:r>
        <w:t xml:space="preserve">Podczas opracowania </w:t>
      </w:r>
      <w:r w:rsidR="006A0DE6">
        <w:t>Opisu Przedmiotu Zamówienia</w:t>
      </w:r>
      <w:r>
        <w:t xml:space="preserve"> dokonano analizy wyboru technologii wykonania obiektu budowlanego. Zamawiający dokonał porównania dostępnych na rynku technologii </w:t>
      </w:r>
      <w:r w:rsidR="00E8598B">
        <w:t>takich jak</w:t>
      </w:r>
      <w:r>
        <w:t xml:space="preserve"> budownictwo tradycyjne, budownictwo prefabrykowane betonowe, prefabrykowane drewniane oraz w technologii modułów o konstrukcji stalowej. </w:t>
      </w:r>
    </w:p>
    <w:p w14:paraId="13E6C808" w14:textId="2E20BFA6" w:rsidR="00D84C9E" w:rsidRDefault="00D84C9E" w:rsidP="00D84C9E">
      <w:pPr>
        <w:jc w:val="both"/>
      </w:pPr>
      <w:r>
        <w:t>Analizę wykonano w oparciu o następujące założenia:</w:t>
      </w:r>
    </w:p>
    <w:p w14:paraId="3293A9FA" w14:textId="74B1B04A" w:rsidR="00D84C9E" w:rsidRDefault="00E8598B" w:rsidP="00D84C9E">
      <w:pPr>
        <w:pStyle w:val="Akapitzlist"/>
        <w:numPr>
          <w:ilvl w:val="0"/>
          <w:numId w:val="1"/>
        </w:numPr>
        <w:jc w:val="both"/>
      </w:pPr>
      <w:r>
        <w:t>Parametry wytrzymałościowe</w:t>
      </w:r>
    </w:p>
    <w:p w14:paraId="499FA0ED" w14:textId="586348D2" w:rsidR="00D84C9E" w:rsidRDefault="00D84C9E" w:rsidP="00D84C9E">
      <w:pPr>
        <w:pStyle w:val="Akapitzlist"/>
        <w:numPr>
          <w:ilvl w:val="0"/>
          <w:numId w:val="1"/>
        </w:numPr>
        <w:jc w:val="both"/>
      </w:pPr>
      <w:r>
        <w:t>Bezpieczeństwo pożarowe</w:t>
      </w:r>
    </w:p>
    <w:p w14:paraId="563F1A24" w14:textId="2210714A" w:rsidR="00D84C9E" w:rsidRDefault="00D84C9E" w:rsidP="00D84C9E">
      <w:pPr>
        <w:pStyle w:val="Akapitzlist"/>
        <w:numPr>
          <w:ilvl w:val="0"/>
          <w:numId w:val="1"/>
        </w:numPr>
        <w:jc w:val="both"/>
      </w:pPr>
      <w:r>
        <w:t>Odporność na wilgoć oraz korozję</w:t>
      </w:r>
    </w:p>
    <w:p w14:paraId="6E23B0ED" w14:textId="7FBEC9F8" w:rsidR="00E8598B" w:rsidRDefault="00E8598B" w:rsidP="00D84C9E">
      <w:pPr>
        <w:pStyle w:val="Akapitzlist"/>
        <w:numPr>
          <w:ilvl w:val="0"/>
          <w:numId w:val="1"/>
        </w:numPr>
        <w:jc w:val="both"/>
      </w:pPr>
      <w:r>
        <w:t>Trwałość konstrukcji i cykl życia</w:t>
      </w:r>
      <w:r w:rsidR="00610B95">
        <w:t xml:space="preserve"> obiektu</w:t>
      </w:r>
    </w:p>
    <w:p w14:paraId="3DC8EB5D" w14:textId="1C2BAF43" w:rsidR="00D84C9E" w:rsidRDefault="00E8598B" w:rsidP="00D84C9E">
      <w:pPr>
        <w:pStyle w:val="Akapitzlist"/>
        <w:numPr>
          <w:ilvl w:val="0"/>
          <w:numId w:val="1"/>
        </w:numPr>
        <w:jc w:val="both"/>
      </w:pPr>
      <w:r>
        <w:t xml:space="preserve">Spełnienie wymagań </w:t>
      </w:r>
      <w:r w:rsidR="00D84C9E">
        <w:t>DNSH</w:t>
      </w:r>
    </w:p>
    <w:p w14:paraId="7E188659" w14:textId="778920E1" w:rsidR="006B47F7" w:rsidRDefault="00E8598B" w:rsidP="006B47F7">
      <w:pPr>
        <w:pStyle w:val="Akapitzlist"/>
        <w:numPr>
          <w:ilvl w:val="0"/>
          <w:numId w:val="1"/>
        </w:numPr>
        <w:jc w:val="both"/>
      </w:pPr>
      <w:r>
        <w:t>Ryzyka inwestycyjne</w:t>
      </w:r>
    </w:p>
    <w:p w14:paraId="5E142A09" w14:textId="77777777" w:rsidR="006B47F7" w:rsidRDefault="006B47F7" w:rsidP="006B47F7">
      <w:pPr>
        <w:pStyle w:val="Akapitzlist"/>
        <w:jc w:val="both"/>
      </w:pPr>
    </w:p>
    <w:p w14:paraId="10A5F9D4" w14:textId="21741A34" w:rsidR="006B47F7" w:rsidRDefault="00454750" w:rsidP="006B47F7">
      <w:pPr>
        <w:pStyle w:val="Akapitzlist"/>
        <w:numPr>
          <w:ilvl w:val="0"/>
          <w:numId w:val="3"/>
        </w:numPr>
        <w:jc w:val="both"/>
      </w:pPr>
      <w:r>
        <w:t>PARAMETRY WYTRZYMAŁOŚCIOWE</w:t>
      </w:r>
    </w:p>
    <w:p w14:paraId="5D143C63" w14:textId="77777777" w:rsidR="007F1659" w:rsidRPr="007F1659" w:rsidRDefault="007F1659" w:rsidP="007F1659">
      <w:pPr>
        <w:jc w:val="both"/>
      </w:pPr>
      <w:r w:rsidRPr="007F1659">
        <w:t>Głównymi parametrami przyjętymi do oceny technologii były właściwości związane z wytrzymałością na zginanie, sprężystością oraz współczynnikiem bezpieczeństwa. Parametry te mają kluczowy wpływ na kształtowanie ustroju konstrukcyjnego, dobór przekrojów elementów nośnych, ich masę, wymagania w zakresie ochrony przeciwpożarowej, a także na wielkość reakcji przekazywanych na podłoże, co bezpośrednio determinuje sposób fundamentowania.</w:t>
      </w:r>
    </w:p>
    <w:p w14:paraId="6C5D9953" w14:textId="77777777" w:rsidR="007F1659" w:rsidRPr="007F1659" w:rsidRDefault="007F1659" w:rsidP="007F1659">
      <w:pPr>
        <w:jc w:val="both"/>
      </w:pPr>
      <w:r w:rsidRPr="007F1659">
        <w:t>W przypadku konstrukcji tradycyjnych oraz prefabrykowanych betonowych zwiększenie nośności wiąże się z istotnym wzrostem masy własnej elementów. Powoduje to większe zużycie materiału oraz konieczność stosowania bardziej rozbudowanych fundamentów, szczególnie na gruntach o niskiej nośności.</w:t>
      </w:r>
    </w:p>
    <w:p w14:paraId="5DCFEC8D" w14:textId="77777777" w:rsidR="007F1659" w:rsidRPr="007F1659" w:rsidRDefault="007F1659" w:rsidP="007F1659">
      <w:pPr>
        <w:jc w:val="both"/>
      </w:pPr>
      <w:r w:rsidRPr="007F1659">
        <w:t>W odniesieniu do ustrojów drewnianych, uzupełnianych elementami drewnopochodnymi (np. płytami OSB), oraz do konstrukcji stalowych należy zauważyć, że charakteryzują się one niższą masą własną elementów nośnych. Jednocześnie w przypadku stali naprężenia wymagane do wywołania odkształceń są nawet dwudziestokrotnie większe niż w konstrukcjach drewnianych. Wyższe współczynniki bezpieczeństwa stosowane dla stali przekładają się na większą przewidywalność pracy ustroju. Stal, dzięki wysokiej wytrzymałości materiału przy smukłych przekrojach, umożliwia efektywne kształtowanie przestrzeni oraz ograniczenie masy konstrukcji. Niska masa własna w połączeniu z dużą nośnością pozwala na stosowanie ekonomicznych stóp fundamentowych lub pali, co zmniejsza obciążenie podłoża i upraszcza proces posadowienia.</w:t>
      </w:r>
    </w:p>
    <w:p w14:paraId="0CB2D08A" w14:textId="77777777" w:rsidR="007F1659" w:rsidRPr="007F1659" w:rsidRDefault="007F1659" w:rsidP="007F1659">
      <w:pPr>
        <w:jc w:val="both"/>
      </w:pPr>
      <w:r w:rsidRPr="007F1659">
        <w:t xml:space="preserve">W odniesieniu do powyższych parametrów Inwestor przychyla się do wskazania konstrukcji stalowych jako rozwiązania o najlepszym stosunku wytrzymałości do masy, zapewniającego wysoką przewidywalność pracy ustroju, dużą swobodę kształtowania </w:t>
      </w:r>
      <w:r w:rsidRPr="007F1659">
        <w:lastRenderedPageBreak/>
        <w:t>przestrzeni oraz możliwość zastosowania ekonomicznego i mniej obciążającego podłoże fundamentowania.</w:t>
      </w:r>
    </w:p>
    <w:p w14:paraId="42521CED" w14:textId="77777777" w:rsidR="007F1659" w:rsidRDefault="007F1659" w:rsidP="004450AC">
      <w:pPr>
        <w:jc w:val="both"/>
      </w:pPr>
    </w:p>
    <w:tbl>
      <w:tblPr>
        <w:tblStyle w:val="Tabela-Siatka"/>
        <w:tblW w:w="9069" w:type="dxa"/>
        <w:tblLook w:val="04A0" w:firstRow="1" w:lastRow="0" w:firstColumn="1" w:lastColumn="0" w:noHBand="0" w:noVBand="1"/>
      </w:tblPr>
      <w:tblGrid>
        <w:gridCol w:w="1924"/>
        <w:gridCol w:w="1631"/>
        <w:gridCol w:w="1924"/>
        <w:gridCol w:w="1924"/>
        <w:gridCol w:w="1924"/>
      </w:tblGrid>
      <w:tr w:rsidR="003579E0" w14:paraId="006C13D7" w14:textId="77777777" w:rsidTr="003579E0">
        <w:trPr>
          <w:trHeight w:val="879"/>
        </w:trPr>
        <w:tc>
          <w:tcPr>
            <w:tcW w:w="1813" w:type="dxa"/>
          </w:tcPr>
          <w:p w14:paraId="211BB2FF" w14:textId="77777777" w:rsidR="000814AC" w:rsidRDefault="000814AC" w:rsidP="00750A39">
            <w:pPr>
              <w:jc w:val="center"/>
            </w:pPr>
          </w:p>
          <w:p w14:paraId="3EAE9B3B" w14:textId="77777777" w:rsidR="000814AC" w:rsidRDefault="000814AC" w:rsidP="00750A39">
            <w:pPr>
              <w:jc w:val="center"/>
            </w:pPr>
            <w:r>
              <w:t>-</w:t>
            </w:r>
          </w:p>
        </w:tc>
        <w:tc>
          <w:tcPr>
            <w:tcW w:w="1813" w:type="dxa"/>
          </w:tcPr>
          <w:p w14:paraId="4B8601EC" w14:textId="77777777" w:rsidR="000814AC" w:rsidRDefault="000814AC" w:rsidP="00750A39">
            <w:pPr>
              <w:jc w:val="center"/>
            </w:pPr>
            <w:r>
              <w:t>Budownictwo tradycyjne</w:t>
            </w:r>
          </w:p>
        </w:tc>
        <w:tc>
          <w:tcPr>
            <w:tcW w:w="1813" w:type="dxa"/>
          </w:tcPr>
          <w:p w14:paraId="6F048C41" w14:textId="77777777" w:rsidR="000814AC" w:rsidRDefault="000814AC" w:rsidP="00750A39">
            <w:pPr>
              <w:jc w:val="center"/>
            </w:pPr>
            <w:r>
              <w:t>Budownictwo prefabrykowane betonowe</w:t>
            </w:r>
          </w:p>
        </w:tc>
        <w:tc>
          <w:tcPr>
            <w:tcW w:w="1815" w:type="dxa"/>
          </w:tcPr>
          <w:p w14:paraId="1C858B6F" w14:textId="77777777" w:rsidR="000814AC" w:rsidRDefault="000814AC" w:rsidP="00750A39">
            <w:pPr>
              <w:jc w:val="center"/>
            </w:pPr>
            <w:r>
              <w:t>Budownictwo prefabrykowane drewniane</w:t>
            </w:r>
          </w:p>
        </w:tc>
        <w:tc>
          <w:tcPr>
            <w:tcW w:w="1815" w:type="dxa"/>
          </w:tcPr>
          <w:p w14:paraId="4A42D181" w14:textId="77777777" w:rsidR="000814AC" w:rsidRDefault="000814AC" w:rsidP="00750A39">
            <w:pPr>
              <w:jc w:val="center"/>
            </w:pPr>
            <w:r>
              <w:t>Budownictwo prefabrykowane stalowe</w:t>
            </w:r>
          </w:p>
        </w:tc>
      </w:tr>
      <w:tr w:rsidR="003579E0" w14:paraId="31163A1C" w14:textId="77777777" w:rsidTr="003579E0">
        <w:trPr>
          <w:trHeight w:val="1265"/>
        </w:trPr>
        <w:tc>
          <w:tcPr>
            <w:tcW w:w="1813" w:type="dxa"/>
          </w:tcPr>
          <w:p w14:paraId="4D41C7A4" w14:textId="77777777" w:rsidR="000814AC" w:rsidRDefault="000814AC" w:rsidP="00750A39">
            <w:pPr>
              <w:jc w:val="center"/>
            </w:pPr>
          </w:p>
          <w:p w14:paraId="6F94C2AE" w14:textId="77777777" w:rsidR="000814AC" w:rsidRDefault="000814AC" w:rsidP="00750A39">
            <w:pPr>
              <w:jc w:val="center"/>
            </w:pPr>
          </w:p>
          <w:p w14:paraId="38FD8C4A" w14:textId="77777777" w:rsidR="000814AC" w:rsidRDefault="000814AC" w:rsidP="00750A39">
            <w:pPr>
              <w:jc w:val="center"/>
            </w:pPr>
            <w:r>
              <w:t>Wytrzymałość na zginanie</w:t>
            </w:r>
          </w:p>
        </w:tc>
        <w:tc>
          <w:tcPr>
            <w:tcW w:w="1813" w:type="dxa"/>
          </w:tcPr>
          <w:p w14:paraId="71FBCF1E" w14:textId="77777777" w:rsidR="000814AC" w:rsidRDefault="000814AC" w:rsidP="00750A39">
            <w:pPr>
              <w:jc w:val="center"/>
            </w:pPr>
            <w:r>
              <w:t>W zależności od przekroju i stosowania dodatkowych rozwiązań technicznych</w:t>
            </w:r>
          </w:p>
        </w:tc>
        <w:tc>
          <w:tcPr>
            <w:tcW w:w="1813" w:type="dxa"/>
          </w:tcPr>
          <w:p w14:paraId="6445A2BD" w14:textId="77777777" w:rsidR="000814AC" w:rsidRDefault="000814AC" w:rsidP="00750A39">
            <w:pPr>
              <w:jc w:val="center"/>
            </w:pPr>
          </w:p>
          <w:p w14:paraId="5E811BC7" w14:textId="77777777" w:rsidR="000814AC" w:rsidRDefault="000814AC" w:rsidP="00750A39">
            <w:pPr>
              <w:jc w:val="center"/>
            </w:pPr>
          </w:p>
          <w:p w14:paraId="1A138972" w14:textId="77777777" w:rsidR="000814AC" w:rsidRDefault="000814AC" w:rsidP="00750A39">
            <w:pPr>
              <w:jc w:val="center"/>
            </w:pPr>
          </w:p>
          <w:p w14:paraId="7A8CA052" w14:textId="77777777" w:rsidR="000814AC" w:rsidRDefault="000814AC" w:rsidP="00750A39">
            <w:pPr>
              <w:jc w:val="center"/>
            </w:pPr>
            <w:r>
              <w:t>2 – 4 Mpa</w:t>
            </w:r>
          </w:p>
        </w:tc>
        <w:tc>
          <w:tcPr>
            <w:tcW w:w="1815" w:type="dxa"/>
          </w:tcPr>
          <w:p w14:paraId="7FEF55AF" w14:textId="77777777" w:rsidR="000814AC" w:rsidRDefault="000814AC" w:rsidP="00750A39">
            <w:pPr>
              <w:jc w:val="center"/>
            </w:pPr>
          </w:p>
          <w:p w14:paraId="1BB709FF" w14:textId="77777777" w:rsidR="000814AC" w:rsidRDefault="000814AC" w:rsidP="00750A39">
            <w:pPr>
              <w:jc w:val="center"/>
            </w:pPr>
          </w:p>
          <w:p w14:paraId="58073302" w14:textId="77777777" w:rsidR="000814AC" w:rsidRDefault="000814AC" w:rsidP="00750A39">
            <w:pPr>
              <w:jc w:val="center"/>
            </w:pPr>
          </w:p>
          <w:p w14:paraId="273CB67C" w14:textId="77777777" w:rsidR="000814AC" w:rsidRDefault="000814AC" w:rsidP="00750A39">
            <w:pPr>
              <w:jc w:val="center"/>
            </w:pPr>
            <w:r>
              <w:t>24 – 32 MPa</w:t>
            </w:r>
          </w:p>
        </w:tc>
        <w:tc>
          <w:tcPr>
            <w:tcW w:w="1815" w:type="dxa"/>
          </w:tcPr>
          <w:p w14:paraId="5F3175F5" w14:textId="77777777" w:rsidR="000814AC" w:rsidRDefault="000814AC" w:rsidP="00750A39">
            <w:pPr>
              <w:jc w:val="center"/>
            </w:pPr>
          </w:p>
          <w:p w14:paraId="078719B7" w14:textId="77777777" w:rsidR="000814AC" w:rsidRDefault="000814AC" w:rsidP="00750A39">
            <w:pPr>
              <w:jc w:val="center"/>
            </w:pPr>
          </w:p>
          <w:p w14:paraId="64F22F8F" w14:textId="77777777" w:rsidR="000814AC" w:rsidRDefault="000814AC" w:rsidP="00750A39">
            <w:pPr>
              <w:jc w:val="center"/>
            </w:pPr>
          </w:p>
          <w:p w14:paraId="3A1775FD" w14:textId="77777777" w:rsidR="000814AC" w:rsidRDefault="000814AC" w:rsidP="00750A39">
            <w:pPr>
              <w:jc w:val="center"/>
            </w:pPr>
            <w:r>
              <w:t>235 – 355 Mpa</w:t>
            </w:r>
          </w:p>
        </w:tc>
      </w:tr>
      <w:tr w:rsidR="003579E0" w14:paraId="1DAF850B" w14:textId="77777777" w:rsidTr="003579E0">
        <w:trPr>
          <w:trHeight w:val="1328"/>
        </w:trPr>
        <w:tc>
          <w:tcPr>
            <w:tcW w:w="1813" w:type="dxa"/>
          </w:tcPr>
          <w:p w14:paraId="3CC01DC9" w14:textId="77777777" w:rsidR="000814AC" w:rsidRDefault="000814AC" w:rsidP="00750A39">
            <w:pPr>
              <w:jc w:val="center"/>
            </w:pPr>
          </w:p>
          <w:p w14:paraId="31438B27" w14:textId="77777777" w:rsidR="000814AC" w:rsidRDefault="000814AC" w:rsidP="00750A39">
            <w:pPr>
              <w:jc w:val="center"/>
            </w:pPr>
            <w:r>
              <w:t>Moduł</w:t>
            </w:r>
          </w:p>
          <w:p w14:paraId="073E1690" w14:textId="77777777" w:rsidR="000814AC" w:rsidRDefault="000814AC" w:rsidP="00750A39">
            <w:pPr>
              <w:jc w:val="center"/>
            </w:pPr>
            <w:r>
              <w:t>sprężystości</w:t>
            </w:r>
          </w:p>
        </w:tc>
        <w:tc>
          <w:tcPr>
            <w:tcW w:w="1813" w:type="dxa"/>
          </w:tcPr>
          <w:p w14:paraId="73F4390C" w14:textId="77777777" w:rsidR="000814AC" w:rsidRDefault="000814AC" w:rsidP="00750A39">
            <w:pPr>
              <w:jc w:val="center"/>
            </w:pPr>
            <w:r>
              <w:t>Dla żelbetu w zależności od stosunku stali do betonu</w:t>
            </w:r>
          </w:p>
          <w:p w14:paraId="7B3D7E09" w14:textId="77777777" w:rsidR="000814AC" w:rsidRDefault="000814AC" w:rsidP="00750A39">
            <w:pPr>
              <w:jc w:val="center"/>
            </w:pPr>
            <w:r>
              <w:t>30 – 45 Gpa</w:t>
            </w:r>
          </w:p>
        </w:tc>
        <w:tc>
          <w:tcPr>
            <w:tcW w:w="1813" w:type="dxa"/>
          </w:tcPr>
          <w:p w14:paraId="01192911" w14:textId="77777777" w:rsidR="000814AC" w:rsidRDefault="000814AC" w:rsidP="00750A39">
            <w:pPr>
              <w:jc w:val="center"/>
            </w:pPr>
          </w:p>
          <w:p w14:paraId="3D492627" w14:textId="77777777" w:rsidR="000814AC" w:rsidRDefault="000814AC" w:rsidP="00750A39">
            <w:pPr>
              <w:jc w:val="center"/>
            </w:pPr>
          </w:p>
          <w:p w14:paraId="3A4969C1" w14:textId="77777777" w:rsidR="000814AC" w:rsidRDefault="000814AC" w:rsidP="00750A39">
            <w:pPr>
              <w:jc w:val="center"/>
            </w:pPr>
            <w:r>
              <w:t>30 - 33 GPa</w:t>
            </w:r>
          </w:p>
        </w:tc>
        <w:tc>
          <w:tcPr>
            <w:tcW w:w="1815" w:type="dxa"/>
          </w:tcPr>
          <w:p w14:paraId="2D6AF046" w14:textId="77777777" w:rsidR="000814AC" w:rsidRDefault="000814AC" w:rsidP="00750A39">
            <w:pPr>
              <w:jc w:val="center"/>
            </w:pPr>
          </w:p>
          <w:p w14:paraId="7A907B21" w14:textId="77777777" w:rsidR="000814AC" w:rsidRDefault="000814AC" w:rsidP="00750A39">
            <w:pPr>
              <w:jc w:val="center"/>
            </w:pPr>
          </w:p>
          <w:p w14:paraId="13D088B1" w14:textId="77777777" w:rsidR="000814AC" w:rsidRDefault="000814AC" w:rsidP="00750A39">
            <w:pPr>
              <w:jc w:val="center"/>
            </w:pPr>
            <w:r>
              <w:t>11 – 14 GPa</w:t>
            </w:r>
          </w:p>
        </w:tc>
        <w:tc>
          <w:tcPr>
            <w:tcW w:w="1815" w:type="dxa"/>
          </w:tcPr>
          <w:p w14:paraId="4218B0C3" w14:textId="77777777" w:rsidR="000814AC" w:rsidRDefault="000814AC" w:rsidP="00750A39">
            <w:pPr>
              <w:jc w:val="center"/>
            </w:pPr>
          </w:p>
          <w:p w14:paraId="48420719" w14:textId="77777777" w:rsidR="000814AC" w:rsidRDefault="000814AC" w:rsidP="00750A39">
            <w:pPr>
              <w:jc w:val="center"/>
            </w:pPr>
          </w:p>
          <w:p w14:paraId="28173741" w14:textId="77777777" w:rsidR="000814AC" w:rsidRDefault="000814AC" w:rsidP="00750A39">
            <w:pPr>
              <w:jc w:val="center"/>
            </w:pPr>
            <w:r>
              <w:t>210 Gpa</w:t>
            </w:r>
          </w:p>
        </w:tc>
      </w:tr>
      <w:tr w:rsidR="003579E0" w14:paraId="104313DB" w14:textId="77777777" w:rsidTr="003579E0">
        <w:trPr>
          <w:trHeight w:val="1265"/>
        </w:trPr>
        <w:tc>
          <w:tcPr>
            <w:tcW w:w="1813" w:type="dxa"/>
          </w:tcPr>
          <w:p w14:paraId="718FB4F6" w14:textId="77777777" w:rsidR="000814AC" w:rsidRDefault="000814AC" w:rsidP="00750A39">
            <w:pPr>
              <w:jc w:val="center"/>
            </w:pPr>
          </w:p>
          <w:p w14:paraId="311E2386" w14:textId="77777777" w:rsidR="000814AC" w:rsidRDefault="000814AC" w:rsidP="00750A39">
            <w:pPr>
              <w:jc w:val="center"/>
            </w:pPr>
          </w:p>
          <w:p w14:paraId="6C45A3B8" w14:textId="77777777" w:rsidR="000814AC" w:rsidRDefault="000814AC" w:rsidP="00750A39">
            <w:pPr>
              <w:jc w:val="center"/>
            </w:pPr>
          </w:p>
          <w:p w14:paraId="46A6B418" w14:textId="77777777" w:rsidR="000814AC" w:rsidRDefault="000814AC" w:rsidP="00750A39">
            <w:pPr>
              <w:jc w:val="center"/>
            </w:pPr>
            <w:r>
              <w:t>Współczynniki bezpieczeństwa</w:t>
            </w:r>
          </w:p>
        </w:tc>
        <w:tc>
          <w:tcPr>
            <w:tcW w:w="1813" w:type="dxa"/>
          </w:tcPr>
          <w:p w14:paraId="0457C614" w14:textId="77777777" w:rsidR="000814AC" w:rsidRDefault="000814AC" w:rsidP="00750A39"/>
          <w:p w14:paraId="36569A13" w14:textId="77777777" w:rsidR="000814AC" w:rsidRPr="00024C0A" w:rsidRDefault="000814AC" w:rsidP="00750A39">
            <w:pPr>
              <w:jc w:val="center"/>
            </w:pPr>
            <w:r w:rsidRPr="00024C0A">
              <w:t xml:space="preserve">Przy elementach żelbetowych </w:t>
            </w:r>
          </w:p>
          <w:p w14:paraId="33619635" w14:textId="77777777" w:rsidR="000814AC" w:rsidRDefault="000814AC" w:rsidP="00750A39">
            <w:pPr>
              <w:jc w:val="center"/>
            </w:pPr>
            <w:r w:rsidRPr="00024C0A">
              <w:t>γC = 1,</w:t>
            </w:r>
            <w:r>
              <w:t>4</w:t>
            </w:r>
            <w:r w:rsidRPr="00024C0A">
              <w:t xml:space="preserve"> + γS = 1,15</w:t>
            </w:r>
          </w:p>
        </w:tc>
        <w:tc>
          <w:tcPr>
            <w:tcW w:w="1813" w:type="dxa"/>
          </w:tcPr>
          <w:p w14:paraId="41CC37C9" w14:textId="77777777" w:rsidR="000814AC" w:rsidRDefault="000814AC" w:rsidP="00750A39">
            <w:pPr>
              <w:jc w:val="center"/>
            </w:pPr>
          </w:p>
          <w:p w14:paraId="5284ED44" w14:textId="77777777" w:rsidR="000814AC" w:rsidRDefault="000814AC" w:rsidP="00750A39">
            <w:pPr>
              <w:jc w:val="center"/>
            </w:pPr>
          </w:p>
          <w:p w14:paraId="508F1BF9" w14:textId="77777777" w:rsidR="000814AC" w:rsidRDefault="000814AC" w:rsidP="00750A39"/>
          <w:p w14:paraId="1D310A3B" w14:textId="77777777" w:rsidR="000814AC" w:rsidRDefault="000814AC" w:rsidP="00750A39">
            <w:pPr>
              <w:jc w:val="center"/>
            </w:pPr>
            <w:r w:rsidRPr="005A3569">
              <w:t>γ</w:t>
            </w:r>
            <w:r>
              <w:t>C = 1,4</w:t>
            </w:r>
          </w:p>
        </w:tc>
        <w:tc>
          <w:tcPr>
            <w:tcW w:w="1815" w:type="dxa"/>
          </w:tcPr>
          <w:p w14:paraId="7D624D0D" w14:textId="77777777" w:rsidR="000814AC" w:rsidRDefault="000814AC" w:rsidP="00750A39">
            <w:pPr>
              <w:jc w:val="center"/>
            </w:pPr>
            <w:r w:rsidRPr="005A3569">
              <w:t>γM</w:t>
            </w:r>
            <w:r>
              <w:t xml:space="preserve"> = 1,25 –1,30* *</w:t>
            </w:r>
            <w:r w:rsidRPr="00980AC1">
              <w:rPr>
                <w:sz w:val="22"/>
                <w:szCs w:val="22"/>
              </w:rPr>
              <w:t>dodatkowo</w:t>
            </w:r>
            <w:r>
              <w:rPr>
                <w:sz w:val="22"/>
                <w:szCs w:val="22"/>
              </w:rPr>
              <w:t xml:space="preserve"> uwzględniać wartość współczynnika</w:t>
            </w:r>
            <w:r w:rsidRPr="00980AC1">
              <w:rPr>
                <w:sz w:val="22"/>
                <w:szCs w:val="22"/>
              </w:rPr>
              <w:t xml:space="preserve"> Kmod redukując</w:t>
            </w:r>
            <w:r>
              <w:rPr>
                <w:sz w:val="22"/>
                <w:szCs w:val="22"/>
              </w:rPr>
              <w:t>ego</w:t>
            </w:r>
            <w:r w:rsidRPr="00980AC1">
              <w:rPr>
                <w:sz w:val="22"/>
                <w:szCs w:val="22"/>
              </w:rPr>
              <w:t xml:space="preserve"> wytrzymałość do 50%</w:t>
            </w:r>
          </w:p>
        </w:tc>
        <w:tc>
          <w:tcPr>
            <w:tcW w:w="1815" w:type="dxa"/>
          </w:tcPr>
          <w:p w14:paraId="3F32E0D6" w14:textId="77777777" w:rsidR="000814AC" w:rsidRDefault="000814AC" w:rsidP="00750A39"/>
          <w:p w14:paraId="1DE847FD" w14:textId="77777777" w:rsidR="000814AC" w:rsidRDefault="000814AC" w:rsidP="00750A39"/>
          <w:p w14:paraId="731E6B01" w14:textId="77777777" w:rsidR="000814AC" w:rsidRDefault="000814AC" w:rsidP="00750A39"/>
          <w:p w14:paraId="70FC0B1C" w14:textId="77777777" w:rsidR="000814AC" w:rsidRDefault="000814AC" w:rsidP="00750A39">
            <w:pPr>
              <w:jc w:val="center"/>
            </w:pPr>
            <w:r w:rsidRPr="005A3569">
              <w:t>γM</w:t>
            </w:r>
            <w:r>
              <w:t xml:space="preserve"> = 1,0 – 1,25</w:t>
            </w:r>
          </w:p>
        </w:tc>
      </w:tr>
      <w:tr w:rsidR="000814AC" w14:paraId="525E4096" w14:textId="77777777" w:rsidTr="003579E0">
        <w:trPr>
          <w:trHeight w:val="1265"/>
        </w:trPr>
        <w:tc>
          <w:tcPr>
            <w:tcW w:w="1813" w:type="dxa"/>
          </w:tcPr>
          <w:p w14:paraId="785D7493" w14:textId="77777777" w:rsidR="000814AC" w:rsidRDefault="000814AC" w:rsidP="00750A39">
            <w:pPr>
              <w:jc w:val="center"/>
            </w:pPr>
          </w:p>
          <w:p w14:paraId="344E1833" w14:textId="77777777" w:rsidR="000814AC" w:rsidRDefault="000814AC" w:rsidP="00750A39">
            <w:pPr>
              <w:jc w:val="center"/>
            </w:pPr>
            <w:r>
              <w:t>ρ/fd</w:t>
            </w:r>
          </w:p>
        </w:tc>
        <w:tc>
          <w:tcPr>
            <w:tcW w:w="1813" w:type="dxa"/>
          </w:tcPr>
          <w:p w14:paraId="33032C7A" w14:textId="77777777" w:rsidR="000814AC" w:rsidRDefault="000814AC" w:rsidP="00750A39">
            <w:pPr>
              <w:jc w:val="center"/>
            </w:pPr>
          </w:p>
          <w:p w14:paraId="1BCE16E5" w14:textId="77777777" w:rsidR="000814AC" w:rsidRDefault="000814AC" w:rsidP="00750A39">
            <w:pPr>
              <w:jc w:val="center"/>
            </w:pPr>
            <w:r>
              <w:t>2600(kg/m³)</w:t>
            </w:r>
          </w:p>
          <w:p w14:paraId="4C51091C" w14:textId="77777777" w:rsidR="000814AC" w:rsidRDefault="000814AC" w:rsidP="00750A39">
            <w:pPr>
              <w:jc w:val="center"/>
            </w:pPr>
            <w:r>
              <w:t>/17MPa= 141</w:t>
            </w:r>
          </w:p>
        </w:tc>
        <w:tc>
          <w:tcPr>
            <w:tcW w:w="1813" w:type="dxa"/>
          </w:tcPr>
          <w:p w14:paraId="5BD760AB" w14:textId="77777777" w:rsidR="000814AC" w:rsidRDefault="000814AC" w:rsidP="00957C04">
            <w:pPr>
              <w:jc w:val="center"/>
            </w:pPr>
          </w:p>
          <w:p w14:paraId="70A476BB" w14:textId="77777777" w:rsidR="000814AC" w:rsidRDefault="000814AC" w:rsidP="00957C04">
            <w:pPr>
              <w:jc w:val="center"/>
            </w:pPr>
            <w:r>
              <w:t>2300(kg/m³)</w:t>
            </w:r>
          </w:p>
          <w:p w14:paraId="706BD260" w14:textId="77777777" w:rsidR="000814AC" w:rsidRDefault="000814AC" w:rsidP="00957C04">
            <w:pPr>
              <w:jc w:val="center"/>
            </w:pPr>
            <w:r>
              <w:t>/21MPa= 112</w:t>
            </w:r>
          </w:p>
        </w:tc>
        <w:tc>
          <w:tcPr>
            <w:tcW w:w="1815" w:type="dxa"/>
          </w:tcPr>
          <w:p w14:paraId="7372A32F" w14:textId="77777777" w:rsidR="000814AC" w:rsidRDefault="000814AC" w:rsidP="00957C04">
            <w:pPr>
              <w:jc w:val="center"/>
            </w:pPr>
          </w:p>
          <w:p w14:paraId="0FEB3B16" w14:textId="77777777" w:rsidR="000814AC" w:rsidRDefault="000814AC" w:rsidP="00957C04">
            <w:pPr>
              <w:jc w:val="center"/>
            </w:pPr>
            <w:r>
              <w:t>500(kg/m³)</w:t>
            </w:r>
          </w:p>
          <w:p w14:paraId="4E467BF4" w14:textId="77777777" w:rsidR="000814AC" w:rsidRPr="005A3569" w:rsidRDefault="000814AC" w:rsidP="00957C04">
            <w:pPr>
              <w:jc w:val="center"/>
            </w:pPr>
            <w:r>
              <w:t>/24MPa= 21</w:t>
            </w:r>
          </w:p>
        </w:tc>
        <w:tc>
          <w:tcPr>
            <w:tcW w:w="1815" w:type="dxa"/>
          </w:tcPr>
          <w:p w14:paraId="010E2BFE" w14:textId="77777777" w:rsidR="000814AC" w:rsidRDefault="000814AC" w:rsidP="00957C04">
            <w:pPr>
              <w:jc w:val="center"/>
            </w:pPr>
          </w:p>
          <w:p w14:paraId="17BA556A" w14:textId="77777777" w:rsidR="000814AC" w:rsidRDefault="000814AC" w:rsidP="00957C04">
            <w:pPr>
              <w:jc w:val="center"/>
            </w:pPr>
            <w:r>
              <w:t>7850(kg/m³)</w:t>
            </w:r>
          </w:p>
          <w:p w14:paraId="626B8871" w14:textId="77777777" w:rsidR="000814AC" w:rsidRDefault="000814AC" w:rsidP="00957C04">
            <w:pPr>
              <w:jc w:val="center"/>
            </w:pPr>
            <w:r>
              <w:t>/355MPa= 22</w:t>
            </w:r>
          </w:p>
        </w:tc>
      </w:tr>
    </w:tbl>
    <w:p w14:paraId="283C7EDE" w14:textId="77777777" w:rsidR="000814AC" w:rsidRDefault="000814AC" w:rsidP="004450AC">
      <w:pPr>
        <w:jc w:val="both"/>
      </w:pPr>
    </w:p>
    <w:p w14:paraId="096CB848" w14:textId="6634BB4E" w:rsidR="00BB1190" w:rsidRDefault="00454750" w:rsidP="00BB1190">
      <w:pPr>
        <w:pStyle w:val="Akapitzlist"/>
        <w:numPr>
          <w:ilvl w:val="0"/>
          <w:numId w:val="3"/>
        </w:numPr>
        <w:jc w:val="both"/>
      </w:pPr>
      <w:r>
        <w:t>BEZPIECZEŃŚTWO POŻAROWE</w:t>
      </w:r>
    </w:p>
    <w:p w14:paraId="6187D5B4" w14:textId="77777777" w:rsidR="00BB1190" w:rsidRPr="00BB1190" w:rsidRDefault="00BB1190" w:rsidP="00BB1190">
      <w:pPr>
        <w:jc w:val="both"/>
      </w:pPr>
      <w:r w:rsidRPr="00BB1190">
        <w:t>Bezpieczeństwo pożarowe ma bezpośredni wpływ na funkcjonalność obiektu, a dobór odpowiednich zabezpieczeń determinuje stopień skomplikowania jego struktury oraz powiązanych z nią instalacji i rozwiązań technicznych.</w:t>
      </w:r>
    </w:p>
    <w:p w14:paraId="331E3342" w14:textId="23629B1B" w:rsidR="00BB1190" w:rsidRPr="00BB1190" w:rsidRDefault="00BB1190" w:rsidP="00BB1190">
      <w:pPr>
        <w:jc w:val="both"/>
      </w:pPr>
      <w:r w:rsidRPr="00BB1190">
        <w:t xml:space="preserve">W przypadku technologii „ciężkich”, czyli tradycyjnych konstrukcji </w:t>
      </w:r>
      <w:r w:rsidR="009C609D">
        <w:t xml:space="preserve">oraz prefabrykowanych </w:t>
      </w:r>
      <w:r w:rsidRPr="00BB1190">
        <w:t>betonowych, uzyskanie wymaganej odporności ogniowej – zarówno w zakresie klas odporności, jak i klas reakcji na ogień – jest stosunkowo nieskomplikowane. Konstrukcje te osiągają parametry charakterystyczne dla obiektów specjalistycznych, często przewyższając wymagania stawiane budynkom użyteczności publicznej. Dzięki temu projektowanie pod kątem ochrony przeciwpożarowej jest w tej technologii elastyczne i nie wymaga stosowania dodatkowych, złożonych rozwiązań.</w:t>
      </w:r>
    </w:p>
    <w:p w14:paraId="28A12ECA" w14:textId="77777777" w:rsidR="00BB1190" w:rsidRPr="00BB1190" w:rsidRDefault="00BB1190" w:rsidP="00BB1190">
      <w:pPr>
        <w:jc w:val="both"/>
      </w:pPr>
      <w:r w:rsidRPr="00BB1190">
        <w:lastRenderedPageBreak/>
        <w:t>W technologiach alternatywnych, takich jak budownictwo drewniane i stalowe, konieczne jest stosowanie dodatkowych zabezpieczeń ograniczających wpływ ognia, co wpływa zarówno na koszty realizacji, jak i na funkcjonalność obiektu.</w:t>
      </w:r>
    </w:p>
    <w:p w14:paraId="4A8CBD9E" w14:textId="77777777" w:rsidR="00BB1190" w:rsidRPr="00BB1190" w:rsidRDefault="00BB1190" w:rsidP="00BB1190">
      <w:pPr>
        <w:jc w:val="both"/>
      </w:pPr>
      <w:r w:rsidRPr="00BB1190">
        <w:t>W technologii drewnianej spełnienie wymagań dotyczących elementów oddzielenia przeciwpożarowego – pełniących funkcję przegród stref pożarowych – jest znacząco utrudnione. Elementy drewniane i drewnopochodne (np. płyty OSB) nie mogą samodzielnie pełnić funkcji elementów NRO i często nie spełniają wymaganych klas reakcji na ogień A1 lub A2. Choć elementy nośne z drewna mogą wykorzystywać zjawisko zwęglania, wymaga to zwiększania ich przekrojów, co prowadzi do wzrostu masy konstrukcji, ograniczeń funkcjonalnych, konieczności modyfikacji parametrów wysokościowych oraz odmiennego podziału na strefy pożarowe. W efekcie przestrzeń użytkowa jest wykorzystywana mniej efektywnie, a obiekt wymaga dodatkowych, kosztownych rozwiązań technicznych.</w:t>
      </w:r>
    </w:p>
    <w:p w14:paraId="1453461F" w14:textId="1AC9533D" w:rsidR="00BB1190" w:rsidRPr="00BB1190" w:rsidRDefault="00BB1190" w:rsidP="00BB1190">
      <w:pPr>
        <w:jc w:val="both"/>
      </w:pPr>
      <w:r w:rsidRPr="00BB1190">
        <w:t>Technologia modułowa o konstrukcji stalowej przy zachowaniu szczelności połączeń potwierdzonej certyfikacją laboratoryjną oraz stosowaniu materiałów o wymaganej klasie reakcji na ogień, takich jak płyty cementowo</w:t>
      </w:r>
      <w:r w:rsidR="00676A1E">
        <w:t xml:space="preserve"> </w:t>
      </w:r>
      <w:r w:rsidRPr="00BB1190">
        <w:t>drzazgowe</w:t>
      </w:r>
      <w:r w:rsidR="00BB0E0A">
        <w:t xml:space="preserve">, </w:t>
      </w:r>
      <w:r w:rsidRPr="00BB1190">
        <w:t>umożliwia pełne spełnienie wymagań ochrony przeciwpożarowej. Rozwiązania te pozwalają na zachowanie wysokiej funkcjonalności obiektu bez konieczności stosowania nadmiernie rozbudowanych zabezpieczeń.</w:t>
      </w:r>
    </w:p>
    <w:p w14:paraId="33A4FA24" w14:textId="6A1BA1A1" w:rsidR="00BB1190" w:rsidRDefault="00BB1190" w:rsidP="00BB1190">
      <w:pPr>
        <w:jc w:val="both"/>
      </w:pPr>
      <w:r w:rsidRPr="00BB1190">
        <w:t>Uwzględniając powyższe parametry, Inwestor wskazuje konstrukcję stalową jako rozwiązanie zapewniające najlepszy stosunek ergonomii kształtowania obiektu do wymagań technicznych, użytkowych i przeciwpożarowych.</w:t>
      </w:r>
    </w:p>
    <w:p w14:paraId="393F9F09" w14:textId="77777777" w:rsidR="00D64847" w:rsidRDefault="00D64847" w:rsidP="00BB1190">
      <w:pPr>
        <w:jc w:val="both"/>
      </w:pPr>
    </w:p>
    <w:tbl>
      <w:tblPr>
        <w:tblStyle w:val="Tabela-Siatka"/>
        <w:tblW w:w="9123" w:type="dxa"/>
        <w:tblLook w:val="04A0" w:firstRow="1" w:lastRow="0" w:firstColumn="1" w:lastColumn="0" w:noHBand="0" w:noVBand="1"/>
      </w:tblPr>
      <w:tblGrid>
        <w:gridCol w:w="1524"/>
        <w:gridCol w:w="1631"/>
        <w:gridCol w:w="1924"/>
        <w:gridCol w:w="2297"/>
        <w:gridCol w:w="1924"/>
      </w:tblGrid>
      <w:tr w:rsidR="00252642" w14:paraId="35347EED" w14:textId="77777777" w:rsidTr="0065684E">
        <w:trPr>
          <w:trHeight w:val="1"/>
        </w:trPr>
        <w:tc>
          <w:tcPr>
            <w:tcW w:w="1532" w:type="dxa"/>
          </w:tcPr>
          <w:p w14:paraId="6AE4E9AE" w14:textId="77777777" w:rsidR="00252642" w:rsidRDefault="00252642" w:rsidP="00EE41ED">
            <w:pPr>
              <w:jc w:val="center"/>
            </w:pPr>
          </w:p>
          <w:p w14:paraId="7F9BDCB0" w14:textId="6AE5B1D1" w:rsidR="0065684E" w:rsidRDefault="0065684E" w:rsidP="00EE41ED">
            <w:pPr>
              <w:jc w:val="center"/>
            </w:pPr>
            <w:r>
              <w:t>-</w:t>
            </w:r>
          </w:p>
        </w:tc>
        <w:tc>
          <w:tcPr>
            <w:tcW w:w="1656" w:type="dxa"/>
          </w:tcPr>
          <w:p w14:paraId="196E591B" w14:textId="77777777" w:rsidR="00252642" w:rsidRDefault="00252642" w:rsidP="00EE41ED">
            <w:pPr>
              <w:jc w:val="center"/>
            </w:pPr>
            <w:r>
              <w:t>Budownictwo tradycyjne</w:t>
            </w:r>
          </w:p>
        </w:tc>
        <w:tc>
          <w:tcPr>
            <w:tcW w:w="1865" w:type="dxa"/>
          </w:tcPr>
          <w:p w14:paraId="395D1C61" w14:textId="77777777" w:rsidR="00252642" w:rsidRDefault="00252642" w:rsidP="00EE41ED">
            <w:pPr>
              <w:jc w:val="center"/>
            </w:pPr>
            <w:r>
              <w:t>Budownictwo prefabrykowane betonowe</w:t>
            </w:r>
          </w:p>
        </w:tc>
        <w:tc>
          <w:tcPr>
            <w:tcW w:w="2205" w:type="dxa"/>
          </w:tcPr>
          <w:p w14:paraId="44167839" w14:textId="77777777" w:rsidR="00252642" w:rsidRDefault="00252642" w:rsidP="00EE41ED">
            <w:pPr>
              <w:jc w:val="center"/>
            </w:pPr>
            <w:r>
              <w:t>Budownictwo prefabrykowane drewniane</w:t>
            </w:r>
          </w:p>
        </w:tc>
        <w:tc>
          <w:tcPr>
            <w:tcW w:w="1865" w:type="dxa"/>
          </w:tcPr>
          <w:p w14:paraId="2D0F0B62" w14:textId="77777777" w:rsidR="00252642" w:rsidRDefault="00252642" w:rsidP="00EE41ED">
            <w:pPr>
              <w:jc w:val="center"/>
            </w:pPr>
            <w:r>
              <w:t>Budownictwo prefabrykowane stalowe</w:t>
            </w:r>
          </w:p>
        </w:tc>
      </w:tr>
      <w:tr w:rsidR="00252642" w14:paraId="6C39D7AA" w14:textId="77777777" w:rsidTr="0065684E">
        <w:trPr>
          <w:trHeight w:val="2"/>
        </w:trPr>
        <w:tc>
          <w:tcPr>
            <w:tcW w:w="1532" w:type="dxa"/>
          </w:tcPr>
          <w:p w14:paraId="39F61926" w14:textId="119CE711" w:rsidR="00252642" w:rsidRDefault="000F1CC5" w:rsidP="00E36DC8">
            <w:pPr>
              <w:jc w:val="center"/>
            </w:pPr>
            <w:r>
              <w:t>Elementy oddzielenia pożarowego</w:t>
            </w:r>
          </w:p>
        </w:tc>
        <w:tc>
          <w:tcPr>
            <w:tcW w:w="1656" w:type="dxa"/>
          </w:tcPr>
          <w:p w14:paraId="6FE3A813" w14:textId="77777777" w:rsidR="001F6C2C" w:rsidRDefault="001F6C2C" w:rsidP="00E36DC8">
            <w:pPr>
              <w:jc w:val="center"/>
            </w:pPr>
          </w:p>
          <w:p w14:paraId="5D48F1E1" w14:textId="77777777" w:rsidR="00220E81" w:rsidRDefault="00220E81" w:rsidP="00E36DC8">
            <w:pPr>
              <w:jc w:val="center"/>
            </w:pPr>
          </w:p>
          <w:p w14:paraId="312F927C" w14:textId="0DCF1AEF" w:rsidR="00252642" w:rsidRDefault="001F6C2C" w:rsidP="00E36DC8">
            <w:pPr>
              <w:jc w:val="center"/>
            </w:pPr>
            <w:r>
              <w:t>Spełnienie warunku</w:t>
            </w:r>
          </w:p>
        </w:tc>
        <w:tc>
          <w:tcPr>
            <w:tcW w:w="1865" w:type="dxa"/>
          </w:tcPr>
          <w:p w14:paraId="0F39F5B3" w14:textId="77777777" w:rsidR="001F6C2C" w:rsidRDefault="001F6C2C" w:rsidP="00E36DC8">
            <w:pPr>
              <w:jc w:val="center"/>
            </w:pPr>
          </w:p>
          <w:p w14:paraId="4C2D60C8" w14:textId="77777777" w:rsidR="00220E81" w:rsidRDefault="00220E81" w:rsidP="00E36DC8">
            <w:pPr>
              <w:jc w:val="center"/>
            </w:pPr>
          </w:p>
          <w:p w14:paraId="0913640F" w14:textId="52742146" w:rsidR="00252642" w:rsidRDefault="001F6C2C" w:rsidP="00E36DC8">
            <w:pPr>
              <w:jc w:val="center"/>
            </w:pPr>
            <w:r>
              <w:t>Spełnienie warunku</w:t>
            </w:r>
          </w:p>
        </w:tc>
        <w:tc>
          <w:tcPr>
            <w:tcW w:w="2205" w:type="dxa"/>
          </w:tcPr>
          <w:p w14:paraId="39F5AE32" w14:textId="77777777" w:rsidR="00C21F4F" w:rsidRDefault="007577C6" w:rsidP="00AF7928">
            <w:pPr>
              <w:jc w:val="center"/>
            </w:pPr>
            <w:r>
              <w:t>Elementy palne</w:t>
            </w:r>
            <w:r w:rsidR="001F6C2C">
              <w:t>.</w:t>
            </w:r>
            <w:r>
              <w:t xml:space="preserve"> </w:t>
            </w:r>
          </w:p>
          <w:p w14:paraId="2D243F4B" w14:textId="77777777" w:rsidR="00C21F4F" w:rsidRDefault="00C21F4F" w:rsidP="00AF7928">
            <w:pPr>
              <w:jc w:val="center"/>
            </w:pPr>
          </w:p>
          <w:p w14:paraId="47F25217" w14:textId="2128968C" w:rsidR="00AF7928" w:rsidRDefault="001F6C2C" w:rsidP="00AF7928">
            <w:pPr>
              <w:jc w:val="center"/>
            </w:pPr>
            <w:r>
              <w:t>N</w:t>
            </w:r>
            <w:r w:rsidR="007577C6">
              <w:t>iespełni</w:t>
            </w:r>
            <w:r>
              <w:t>enie</w:t>
            </w:r>
            <w:r w:rsidR="007577C6">
              <w:t xml:space="preserve"> </w:t>
            </w:r>
            <w:r w:rsidR="00AF7928">
              <w:t>warunk</w:t>
            </w:r>
            <w:r>
              <w:t>u</w:t>
            </w:r>
          </w:p>
        </w:tc>
        <w:tc>
          <w:tcPr>
            <w:tcW w:w="1865" w:type="dxa"/>
          </w:tcPr>
          <w:p w14:paraId="2C0B81F2" w14:textId="77777777" w:rsidR="001F6C2C" w:rsidRDefault="001F6C2C" w:rsidP="00E36DC8">
            <w:pPr>
              <w:jc w:val="center"/>
            </w:pPr>
          </w:p>
          <w:p w14:paraId="450CBBCA" w14:textId="77777777" w:rsidR="00220E81" w:rsidRDefault="00220E81" w:rsidP="00E36DC8">
            <w:pPr>
              <w:jc w:val="center"/>
            </w:pPr>
          </w:p>
          <w:p w14:paraId="36441080" w14:textId="03E6B725" w:rsidR="00252642" w:rsidRDefault="001F6C2C" w:rsidP="00E36DC8">
            <w:pPr>
              <w:jc w:val="center"/>
            </w:pPr>
            <w:r>
              <w:t>Spełnienie warunku</w:t>
            </w:r>
          </w:p>
        </w:tc>
      </w:tr>
      <w:tr w:rsidR="00252642" w14:paraId="67C9EB27" w14:textId="77777777" w:rsidTr="0065684E">
        <w:trPr>
          <w:trHeight w:val="2"/>
        </w:trPr>
        <w:tc>
          <w:tcPr>
            <w:tcW w:w="1532" w:type="dxa"/>
          </w:tcPr>
          <w:p w14:paraId="02137472" w14:textId="227525D7" w:rsidR="00252642" w:rsidRDefault="00E36DC8" w:rsidP="00E36DC8">
            <w:pPr>
              <w:jc w:val="center"/>
            </w:pPr>
            <w:r>
              <w:t xml:space="preserve">Materiały </w:t>
            </w:r>
            <w:r w:rsidR="007A3672">
              <w:t>NRO</w:t>
            </w:r>
          </w:p>
        </w:tc>
        <w:tc>
          <w:tcPr>
            <w:tcW w:w="1656" w:type="dxa"/>
          </w:tcPr>
          <w:p w14:paraId="3F66EB3E" w14:textId="7F9506E4" w:rsidR="00252642" w:rsidRDefault="00D42F6D" w:rsidP="00E36DC8">
            <w:pPr>
              <w:jc w:val="center"/>
            </w:pPr>
            <w:r>
              <w:t>Tylko NRO</w:t>
            </w:r>
          </w:p>
        </w:tc>
        <w:tc>
          <w:tcPr>
            <w:tcW w:w="1865" w:type="dxa"/>
          </w:tcPr>
          <w:p w14:paraId="6A5B7B58" w14:textId="7BB75D72" w:rsidR="00252642" w:rsidRDefault="00D42F6D" w:rsidP="00E36DC8">
            <w:pPr>
              <w:jc w:val="center"/>
            </w:pPr>
            <w:r>
              <w:t>Tylko NRO</w:t>
            </w:r>
          </w:p>
        </w:tc>
        <w:tc>
          <w:tcPr>
            <w:tcW w:w="2205" w:type="dxa"/>
          </w:tcPr>
          <w:p w14:paraId="5297DD4C" w14:textId="1CE572E8" w:rsidR="00252642" w:rsidRDefault="00A4634D" w:rsidP="00E36DC8">
            <w:pPr>
              <w:jc w:val="center"/>
            </w:pPr>
            <w:r>
              <w:t xml:space="preserve">Mogą występować materiały </w:t>
            </w:r>
            <w:r w:rsidR="002F4DB9">
              <w:t>rozprzestrzeniające ogień</w:t>
            </w:r>
            <w:r w:rsidR="00F8191D">
              <w:t>.</w:t>
            </w:r>
          </w:p>
        </w:tc>
        <w:tc>
          <w:tcPr>
            <w:tcW w:w="1865" w:type="dxa"/>
          </w:tcPr>
          <w:p w14:paraId="27118FE4" w14:textId="48A2F3CD" w:rsidR="00252642" w:rsidRDefault="00D42F6D" w:rsidP="00E36DC8">
            <w:pPr>
              <w:jc w:val="center"/>
            </w:pPr>
            <w:r>
              <w:t>Tylko NRO</w:t>
            </w:r>
          </w:p>
        </w:tc>
      </w:tr>
      <w:tr w:rsidR="00252642" w14:paraId="0D14CE27" w14:textId="77777777" w:rsidTr="0065684E">
        <w:trPr>
          <w:trHeight w:val="2"/>
        </w:trPr>
        <w:tc>
          <w:tcPr>
            <w:tcW w:w="1532" w:type="dxa"/>
          </w:tcPr>
          <w:p w14:paraId="484F2264" w14:textId="085C8BDD" w:rsidR="00252642" w:rsidRDefault="00F92ADC" w:rsidP="00E36DC8">
            <w:pPr>
              <w:jc w:val="center"/>
            </w:pPr>
            <w:r>
              <w:t>Klasa odporności ogniowej</w:t>
            </w:r>
          </w:p>
        </w:tc>
        <w:tc>
          <w:tcPr>
            <w:tcW w:w="1656" w:type="dxa"/>
          </w:tcPr>
          <w:p w14:paraId="1EE72D66" w14:textId="4D352DC0" w:rsidR="00252642" w:rsidRDefault="00882CE6" w:rsidP="00E36DC8">
            <w:pPr>
              <w:jc w:val="center"/>
            </w:pPr>
            <w:r>
              <w:t>Maksymalna do REI</w:t>
            </w:r>
            <w:r w:rsidR="00755E61">
              <w:t>240</w:t>
            </w:r>
          </w:p>
        </w:tc>
        <w:tc>
          <w:tcPr>
            <w:tcW w:w="1865" w:type="dxa"/>
          </w:tcPr>
          <w:p w14:paraId="25C55814" w14:textId="3D697556" w:rsidR="00252642" w:rsidRDefault="00036BF0" w:rsidP="00E36DC8">
            <w:pPr>
              <w:jc w:val="center"/>
            </w:pPr>
            <w:r>
              <w:t>Do</w:t>
            </w:r>
            <w:r w:rsidR="00882CE6">
              <w:t xml:space="preserve"> REI120</w:t>
            </w:r>
          </w:p>
        </w:tc>
        <w:tc>
          <w:tcPr>
            <w:tcW w:w="2205" w:type="dxa"/>
          </w:tcPr>
          <w:p w14:paraId="34FC5EE0" w14:textId="041B09DD" w:rsidR="00252642" w:rsidRDefault="00CC1BFF" w:rsidP="00E36DC8">
            <w:pPr>
              <w:jc w:val="center"/>
            </w:pPr>
            <w:r>
              <w:t>Do</w:t>
            </w:r>
            <w:r w:rsidR="004A28ED">
              <w:t xml:space="preserve"> REI 60</w:t>
            </w:r>
          </w:p>
          <w:p w14:paraId="1ED0CFAF" w14:textId="35B0F356" w:rsidR="00882CE6" w:rsidRDefault="00882CE6" w:rsidP="00E36DC8">
            <w:pPr>
              <w:jc w:val="center"/>
            </w:pPr>
            <w:r>
              <w:t xml:space="preserve">Wyższe klasy przy </w:t>
            </w:r>
            <w:r w:rsidR="008239B5">
              <w:t xml:space="preserve">spełnieniu </w:t>
            </w:r>
            <w:r>
              <w:t>szeregu</w:t>
            </w:r>
            <w:r w:rsidR="008239B5">
              <w:t xml:space="preserve"> wymagań technicznych</w:t>
            </w:r>
          </w:p>
        </w:tc>
        <w:tc>
          <w:tcPr>
            <w:tcW w:w="1865" w:type="dxa"/>
          </w:tcPr>
          <w:p w14:paraId="4BBC2CF0" w14:textId="4B8191FD" w:rsidR="00252642" w:rsidRDefault="00036BF0" w:rsidP="00E36DC8">
            <w:pPr>
              <w:jc w:val="center"/>
            </w:pPr>
            <w:r>
              <w:t>Do</w:t>
            </w:r>
            <w:r w:rsidR="00882CE6">
              <w:t xml:space="preserve"> REI120</w:t>
            </w:r>
          </w:p>
        </w:tc>
      </w:tr>
      <w:tr w:rsidR="00252642" w14:paraId="284B003F" w14:textId="77777777" w:rsidTr="0065684E">
        <w:trPr>
          <w:trHeight w:val="2"/>
        </w:trPr>
        <w:tc>
          <w:tcPr>
            <w:tcW w:w="1532" w:type="dxa"/>
          </w:tcPr>
          <w:p w14:paraId="6458949E" w14:textId="05B3D35D" w:rsidR="00252642" w:rsidRDefault="00E36DC8" w:rsidP="00A43B3C">
            <w:pPr>
              <w:jc w:val="center"/>
            </w:pPr>
            <w:r>
              <w:t>Klasa reakcji na ogień</w:t>
            </w:r>
          </w:p>
          <w:p w14:paraId="72357546" w14:textId="436A4E39" w:rsidR="00C55A00" w:rsidRDefault="00C55A00" w:rsidP="00A43B3C">
            <w:pPr>
              <w:jc w:val="center"/>
            </w:pPr>
            <w:r>
              <w:t>(A1, A2</w:t>
            </w:r>
            <w:r w:rsidR="000A4F7D">
              <w:t>)</w:t>
            </w:r>
          </w:p>
        </w:tc>
        <w:tc>
          <w:tcPr>
            <w:tcW w:w="1656" w:type="dxa"/>
          </w:tcPr>
          <w:p w14:paraId="07E0E6BC" w14:textId="3FF2A363" w:rsidR="00252642" w:rsidRDefault="000A4F7D" w:rsidP="00E36DC8">
            <w:pPr>
              <w:jc w:val="center"/>
            </w:pPr>
            <w:r>
              <w:t>Spełnia</w:t>
            </w:r>
          </w:p>
        </w:tc>
        <w:tc>
          <w:tcPr>
            <w:tcW w:w="1865" w:type="dxa"/>
          </w:tcPr>
          <w:p w14:paraId="5A0067C7" w14:textId="2FC28D99" w:rsidR="00252642" w:rsidRDefault="000A4F7D" w:rsidP="00E36DC8">
            <w:pPr>
              <w:jc w:val="center"/>
            </w:pPr>
            <w:r>
              <w:t>Spełnia</w:t>
            </w:r>
          </w:p>
        </w:tc>
        <w:tc>
          <w:tcPr>
            <w:tcW w:w="2205" w:type="dxa"/>
          </w:tcPr>
          <w:p w14:paraId="43EA159B" w14:textId="77777777" w:rsidR="008751D2" w:rsidRDefault="000A4F7D" w:rsidP="00E36DC8">
            <w:pPr>
              <w:jc w:val="center"/>
            </w:pPr>
            <w:r>
              <w:t>Nie sp</w:t>
            </w:r>
            <w:r w:rsidR="008751D2">
              <w:t>ełnia.</w:t>
            </w:r>
          </w:p>
          <w:p w14:paraId="391214C6" w14:textId="77777777" w:rsidR="008751D2" w:rsidRDefault="008751D2" w:rsidP="00E36DC8">
            <w:pPr>
              <w:jc w:val="center"/>
            </w:pPr>
          </w:p>
          <w:p w14:paraId="5C9A20F2" w14:textId="73392705" w:rsidR="00252642" w:rsidRDefault="000A4F7D" w:rsidP="00E36DC8">
            <w:pPr>
              <w:jc w:val="center"/>
            </w:pPr>
            <w:r>
              <w:lastRenderedPageBreak/>
              <w:t>Występują elementy</w:t>
            </w:r>
            <w:r w:rsidR="008751D2">
              <w:t xml:space="preserve"> w klasie B i C</w:t>
            </w:r>
          </w:p>
        </w:tc>
        <w:tc>
          <w:tcPr>
            <w:tcW w:w="1865" w:type="dxa"/>
          </w:tcPr>
          <w:p w14:paraId="1FEED416" w14:textId="56E7F812" w:rsidR="00252642" w:rsidRDefault="000A4F7D" w:rsidP="00E36DC8">
            <w:pPr>
              <w:jc w:val="center"/>
            </w:pPr>
            <w:r>
              <w:lastRenderedPageBreak/>
              <w:t>Spełnia</w:t>
            </w:r>
          </w:p>
        </w:tc>
      </w:tr>
    </w:tbl>
    <w:p w14:paraId="20C1D3C7" w14:textId="77777777" w:rsidR="006B47F7" w:rsidRDefault="006B47F7" w:rsidP="006B47F7">
      <w:pPr>
        <w:jc w:val="both"/>
      </w:pPr>
    </w:p>
    <w:p w14:paraId="25A2D9E4" w14:textId="6D0F9EDD" w:rsidR="00454750" w:rsidRDefault="00454750" w:rsidP="00454750">
      <w:pPr>
        <w:pStyle w:val="Akapitzlist"/>
        <w:numPr>
          <w:ilvl w:val="0"/>
          <w:numId w:val="3"/>
        </w:numPr>
        <w:jc w:val="both"/>
      </w:pPr>
      <w:r>
        <w:t>ODPORNOŚĆ NA WILGOĆ ORAZ KOROZJĘ</w:t>
      </w:r>
    </w:p>
    <w:p w14:paraId="07AF2EF9" w14:textId="77777777" w:rsidR="006B47F7" w:rsidRDefault="006B47F7" w:rsidP="006B47F7">
      <w:pPr>
        <w:jc w:val="both"/>
      </w:pPr>
    </w:p>
    <w:p w14:paraId="0B80F588" w14:textId="42BEAACD" w:rsidR="000A47A4" w:rsidRPr="000A47A4" w:rsidRDefault="000A47A4" w:rsidP="000A47A4">
      <w:pPr>
        <w:jc w:val="both"/>
      </w:pPr>
      <w:r w:rsidRPr="000A47A4">
        <w:t xml:space="preserve">W ocenie tego parametru uwzględniono wpływ czynników korozyjnych i procesów degradacji układu konstrukcyjnego, które </w:t>
      </w:r>
      <w:r w:rsidR="00CF6BC2" w:rsidRPr="00F33E5F">
        <w:t>warunkują</w:t>
      </w:r>
      <w:r w:rsidRPr="000A47A4">
        <w:t xml:space="preserve"> konieczność remontów lub przebudów oraz wpływają na aspekty finansowo</w:t>
      </w:r>
      <w:r w:rsidRPr="000A47A4">
        <w:noBreakHyphen/>
        <w:t>organizacyjne i żywotność budynku. Do najważniejszych czynników należą warunki atmosferyczne, oddziaływania środowiskowe oraz zdarzenia losowe, takie jak bezpośrednie działanie wody lub długotrwałe zawilgocenie.</w:t>
      </w:r>
    </w:p>
    <w:p w14:paraId="67606FDE" w14:textId="77777777" w:rsidR="000A47A4" w:rsidRPr="000A47A4" w:rsidRDefault="000A47A4" w:rsidP="000A47A4">
      <w:pPr>
        <w:jc w:val="both"/>
      </w:pPr>
      <w:r w:rsidRPr="000A47A4">
        <w:t>W konstrukcjach betonowych, zarówno tradycyjnych, jak i prefabrykowanych, istotnym procesem jest karbonatyzacja betonu, która obniża pH i zwiększa ryzyko korozji zbrojenia. Korozja zbrojenia prowadzi do wzrostu objętości produktów korozji, co skutkuje spękaniami i odspajaniem się warstw betonowych. Uszkodzenia te są często związane z długotrwałym działaniem wilgoci lub cyklicznym zamarzaniem i rozmrażaniem. Naprawy elementów betonowych zwykle wymagają prac mokrych oraz zastosowania metod i materiałów zgodnych z obowiązującymi wytycznymi i normami.</w:t>
      </w:r>
    </w:p>
    <w:p w14:paraId="79B07AA0" w14:textId="171A878F" w:rsidR="000A47A4" w:rsidRPr="000A47A4" w:rsidRDefault="000A47A4" w:rsidP="000A47A4">
      <w:pPr>
        <w:jc w:val="both"/>
      </w:pPr>
      <w:r w:rsidRPr="000A47A4">
        <w:t xml:space="preserve">Aspekty biologiczne mają ograniczone znaczenie dla elementów nośnych betonowych i przeważnie dotyczą warstw wykończeniowych, izolacji i elementów </w:t>
      </w:r>
      <w:r w:rsidR="00261D91" w:rsidRPr="00F33E5F">
        <w:t>nienośnych</w:t>
      </w:r>
      <w:r w:rsidRPr="000A47A4">
        <w:t>, które można stosunkowo łatwo zabezpieczyć lub wymienić. Prace remontowe w konstrukcjach betonowych często obejmują rozległe roboty mokre, angażujące dużą część struktury budynku i powodujące istotne utrudnienia w użytkowaniu obiektu.</w:t>
      </w:r>
    </w:p>
    <w:p w14:paraId="4FF867AE" w14:textId="6DA2506D" w:rsidR="000A47A4" w:rsidRPr="000A47A4" w:rsidRDefault="000A47A4" w:rsidP="000A47A4">
      <w:pPr>
        <w:jc w:val="both"/>
      </w:pPr>
      <w:r w:rsidRPr="000A47A4">
        <w:t xml:space="preserve">W technologiach drewnianych kluczowe czynniki degradacji to wilgoć (w tym bezpośrednie działanie wody) oraz korozja biologiczna (np. rozwój grzybów i pleśni). Wilgoć powoduje pęcznienie elementów drewnopochodnych, co obniża ich właściwości mechaniczne i wymiarowe. Odporność materiałów drewnopochodnych zależy od klasy i rodzaju płyty oraz od warunków eksploatacji. </w:t>
      </w:r>
      <w:r w:rsidR="00503D1C" w:rsidRPr="00F33E5F">
        <w:t xml:space="preserve">Wilgoć lub wprost działanie wody </w:t>
      </w:r>
      <w:r w:rsidR="00472A85" w:rsidRPr="00F33E5F">
        <w:t xml:space="preserve">może </w:t>
      </w:r>
      <w:r w:rsidR="00503D1C" w:rsidRPr="00F33E5F">
        <w:t>przekłada</w:t>
      </w:r>
      <w:r w:rsidR="00472A85" w:rsidRPr="00F33E5F">
        <w:t>ć</w:t>
      </w:r>
      <w:r w:rsidR="00503D1C" w:rsidRPr="00F33E5F">
        <w:t xml:space="preserve"> się na zniszczenie elementów wchodzących w skład technologii poprzez pęcznienie (w płytach drewnopochodnych OSB-4 nawet do 15% objętości) oraz w odpowiednim środowisku korozj</w:t>
      </w:r>
      <w:r w:rsidR="00F23A11" w:rsidRPr="00F33E5F">
        <w:t>i</w:t>
      </w:r>
      <w:r w:rsidR="00503D1C" w:rsidRPr="00F33E5F">
        <w:t xml:space="preserve"> biologiczn</w:t>
      </w:r>
      <w:r w:rsidR="00F23A11" w:rsidRPr="00F33E5F">
        <w:t>ej</w:t>
      </w:r>
      <w:r w:rsidR="00503D1C" w:rsidRPr="00F33E5F">
        <w:t xml:space="preserve"> (np. zagrzybienie</w:t>
      </w:r>
      <w:r w:rsidR="00165EBF" w:rsidRPr="00F33E5F">
        <w:t>, zapleśnienie</w:t>
      </w:r>
      <w:r w:rsidR="00503D1C" w:rsidRPr="00F33E5F">
        <w:t>) wpływające na środowisko pracy</w:t>
      </w:r>
      <w:r w:rsidR="00472A85" w:rsidRPr="00F33E5F">
        <w:t xml:space="preserve">. </w:t>
      </w:r>
      <w:r w:rsidRPr="000A47A4">
        <w:t>Ograniczenie ryzyka wymaga stosowania odpowiednich zabezpieczeń technicznych, detali konstrukcyjnych i materiałów ochronnych, co może utrudniać ocenę stanu ukrytych elementów konstrukcji i wymagać demontażu elementów wykończeniowych podczas prac naprawczych.</w:t>
      </w:r>
    </w:p>
    <w:p w14:paraId="45D0FAC5" w14:textId="744AEC32" w:rsidR="000A47A4" w:rsidRPr="000A47A4" w:rsidRDefault="000A47A4" w:rsidP="000A47A4">
      <w:pPr>
        <w:jc w:val="both"/>
      </w:pPr>
      <w:r w:rsidRPr="000A47A4">
        <w:t>W systemach prefabrykowanych stalowych kluczowe znaczenie mają jakość połączeń oraz szczelność izolacji termicznej i przeciwwilgociowej. Stal jest podatna na korozję pod wpływem wilgoci, tlenu i soli</w:t>
      </w:r>
      <w:r w:rsidR="00B809AD" w:rsidRPr="00F33E5F">
        <w:t xml:space="preserve">. </w:t>
      </w:r>
      <w:r w:rsidR="00F33E5F" w:rsidRPr="00F33E5F">
        <w:t>Nieskompilowane</w:t>
      </w:r>
      <w:r w:rsidRPr="000A47A4">
        <w:t xml:space="preserve"> zabezpieczenia antykorozyjne są </w:t>
      </w:r>
      <w:r w:rsidRPr="000A47A4">
        <w:lastRenderedPageBreak/>
        <w:t>niezbędne. Przy właściwym zabezpieczeniu stal cechuje się stabilnością wymiarową i odpornością na wpływy biologiczne. Remonty w konstrukcjach stalowych często ograniczają się do prac suchych i wymiany poszycia, co zmniejsza uciążliwość dla użytkowników.</w:t>
      </w:r>
    </w:p>
    <w:p w14:paraId="11656C76" w14:textId="0F6CC5F1" w:rsidR="000A47A4" w:rsidRPr="00F33E5F" w:rsidRDefault="000A47A4" w:rsidP="006B47F7">
      <w:pPr>
        <w:jc w:val="both"/>
      </w:pPr>
      <w:r w:rsidRPr="000A47A4">
        <w:t xml:space="preserve">Z punktu widzenia inwestora konstrukcja stalowa jest często postrzegana jako rozwiązanie optymalne pod względem trwałości i elastyczności eksploatacyjnej, ponieważ prace remontowe są zwykle mniej inwazyjne. W przypadku zdarzeń losowych, takich jak zalanie, konstrukcje stalowe </w:t>
      </w:r>
      <w:r w:rsidR="00232720" w:rsidRPr="00F33E5F">
        <w:t>zachowują</w:t>
      </w:r>
      <w:r w:rsidRPr="000A47A4">
        <w:t xml:space="preserve"> nośność kluczowych elementów</w:t>
      </w:r>
      <w:r w:rsidR="000859C6" w:rsidRPr="00F33E5F">
        <w:t xml:space="preserve"> i łatwość doprowadzenia do stanu </w:t>
      </w:r>
      <w:r w:rsidR="00F33E5F" w:rsidRPr="00F33E5F">
        <w:t>wyjściowego.</w:t>
      </w:r>
    </w:p>
    <w:p w14:paraId="16243B19" w14:textId="77777777" w:rsidR="000A47A4" w:rsidRDefault="000A47A4" w:rsidP="006B47F7">
      <w:pPr>
        <w:jc w:val="both"/>
      </w:pPr>
    </w:p>
    <w:tbl>
      <w:tblPr>
        <w:tblStyle w:val="Tabela-Siatka"/>
        <w:tblW w:w="8981" w:type="dxa"/>
        <w:tblLook w:val="04A0" w:firstRow="1" w:lastRow="0" w:firstColumn="1" w:lastColumn="0" w:noHBand="0" w:noVBand="1"/>
      </w:tblPr>
      <w:tblGrid>
        <w:gridCol w:w="1500"/>
        <w:gridCol w:w="1709"/>
        <w:gridCol w:w="1924"/>
        <w:gridCol w:w="1924"/>
        <w:gridCol w:w="1924"/>
      </w:tblGrid>
      <w:tr w:rsidR="00252642" w14:paraId="0381F97D" w14:textId="77777777" w:rsidTr="009B5866">
        <w:trPr>
          <w:trHeight w:val="801"/>
        </w:trPr>
        <w:tc>
          <w:tcPr>
            <w:tcW w:w="1795" w:type="dxa"/>
          </w:tcPr>
          <w:p w14:paraId="5AF52BAF" w14:textId="77777777" w:rsidR="00252642" w:rsidRDefault="00252642" w:rsidP="00EE41ED">
            <w:pPr>
              <w:jc w:val="center"/>
            </w:pPr>
          </w:p>
          <w:p w14:paraId="282A258C" w14:textId="0A99B843" w:rsidR="00AD3B73" w:rsidRDefault="00AD3B73" w:rsidP="00EE41ED">
            <w:pPr>
              <w:jc w:val="center"/>
            </w:pPr>
            <w:r>
              <w:t>-</w:t>
            </w:r>
          </w:p>
        </w:tc>
        <w:tc>
          <w:tcPr>
            <w:tcW w:w="1795" w:type="dxa"/>
          </w:tcPr>
          <w:p w14:paraId="73EF3AAE" w14:textId="77777777" w:rsidR="00252642" w:rsidRDefault="00252642" w:rsidP="00EE41ED">
            <w:pPr>
              <w:jc w:val="center"/>
            </w:pPr>
            <w:r>
              <w:t>Budownictwo tradycyjne</w:t>
            </w:r>
          </w:p>
        </w:tc>
        <w:tc>
          <w:tcPr>
            <w:tcW w:w="1795" w:type="dxa"/>
          </w:tcPr>
          <w:p w14:paraId="3BAB28B6" w14:textId="77777777" w:rsidR="00252642" w:rsidRDefault="00252642" w:rsidP="00EE41ED">
            <w:pPr>
              <w:jc w:val="center"/>
            </w:pPr>
            <w:r>
              <w:t>Budownictwo prefabrykowane betonowe</w:t>
            </w:r>
          </w:p>
        </w:tc>
        <w:tc>
          <w:tcPr>
            <w:tcW w:w="1798" w:type="dxa"/>
          </w:tcPr>
          <w:p w14:paraId="30459F91" w14:textId="77777777" w:rsidR="00252642" w:rsidRDefault="00252642" w:rsidP="00EE41ED">
            <w:pPr>
              <w:jc w:val="center"/>
            </w:pPr>
            <w:r>
              <w:t>Budownictwo prefabrykowane drewniane</w:t>
            </w:r>
          </w:p>
        </w:tc>
        <w:tc>
          <w:tcPr>
            <w:tcW w:w="1798" w:type="dxa"/>
          </w:tcPr>
          <w:p w14:paraId="7A074228" w14:textId="77777777" w:rsidR="00252642" w:rsidRDefault="00252642" w:rsidP="00EE41ED">
            <w:pPr>
              <w:jc w:val="center"/>
            </w:pPr>
            <w:r>
              <w:t>Budownictwo prefabrykowane stalowe</w:t>
            </w:r>
          </w:p>
        </w:tc>
      </w:tr>
      <w:tr w:rsidR="00252642" w14:paraId="3E7ED70E" w14:textId="77777777" w:rsidTr="009B5866">
        <w:trPr>
          <w:trHeight w:val="1152"/>
        </w:trPr>
        <w:tc>
          <w:tcPr>
            <w:tcW w:w="1795" w:type="dxa"/>
          </w:tcPr>
          <w:p w14:paraId="62DA33ED" w14:textId="77777777" w:rsidR="00B1180C" w:rsidRDefault="00B1180C" w:rsidP="00B1180C">
            <w:pPr>
              <w:jc w:val="center"/>
            </w:pPr>
          </w:p>
          <w:p w14:paraId="2C4CD4C0" w14:textId="00128DE5" w:rsidR="00252642" w:rsidRDefault="003963D9" w:rsidP="00B1180C">
            <w:pPr>
              <w:jc w:val="center"/>
            </w:pPr>
            <w:r>
              <w:t>Odporność na wilgoć</w:t>
            </w:r>
          </w:p>
        </w:tc>
        <w:tc>
          <w:tcPr>
            <w:tcW w:w="1795" w:type="dxa"/>
          </w:tcPr>
          <w:p w14:paraId="1A8AA743" w14:textId="68267A2C" w:rsidR="00252642" w:rsidRDefault="003963D9" w:rsidP="00B1180C">
            <w:pPr>
              <w:jc w:val="center"/>
            </w:pPr>
            <w:r>
              <w:t>Bardzo wysoka przy stosowaniu dodatkowych zabezpieczeń</w:t>
            </w:r>
          </w:p>
        </w:tc>
        <w:tc>
          <w:tcPr>
            <w:tcW w:w="1795" w:type="dxa"/>
          </w:tcPr>
          <w:p w14:paraId="6C897EFC" w14:textId="77777777" w:rsidR="00B1180C" w:rsidRDefault="00B1180C" w:rsidP="00B1180C">
            <w:pPr>
              <w:jc w:val="center"/>
            </w:pPr>
          </w:p>
          <w:p w14:paraId="543F8330" w14:textId="6806EB9B" w:rsidR="00252642" w:rsidRDefault="001476CF" w:rsidP="00B1180C">
            <w:pPr>
              <w:jc w:val="center"/>
            </w:pPr>
            <w:r>
              <w:t>Wysoka</w:t>
            </w:r>
          </w:p>
        </w:tc>
        <w:tc>
          <w:tcPr>
            <w:tcW w:w="1798" w:type="dxa"/>
          </w:tcPr>
          <w:p w14:paraId="3E925E6F" w14:textId="77777777" w:rsidR="00B1180C" w:rsidRDefault="00B1180C" w:rsidP="00B1180C">
            <w:pPr>
              <w:jc w:val="center"/>
            </w:pPr>
          </w:p>
          <w:p w14:paraId="2398BE14" w14:textId="71D9760A" w:rsidR="00252642" w:rsidRDefault="00A26DC2" w:rsidP="00B1180C">
            <w:pPr>
              <w:jc w:val="center"/>
            </w:pPr>
            <w:r>
              <w:t>Niska</w:t>
            </w:r>
          </w:p>
        </w:tc>
        <w:tc>
          <w:tcPr>
            <w:tcW w:w="1798" w:type="dxa"/>
          </w:tcPr>
          <w:p w14:paraId="28E766E5" w14:textId="77777777" w:rsidR="00B1180C" w:rsidRDefault="00B1180C" w:rsidP="00B1180C">
            <w:pPr>
              <w:jc w:val="center"/>
            </w:pPr>
          </w:p>
          <w:p w14:paraId="35C0BF7C" w14:textId="103DAB75" w:rsidR="00252642" w:rsidRDefault="00A26DC2" w:rsidP="00B1180C">
            <w:pPr>
              <w:jc w:val="center"/>
            </w:pPr>
            <w:r>
              <w:t>Bardzo wysoka</w:t>
            </w:r>
          </w:p>
        </w:tc>
      </w:tr>
      <w:tr w:rsidR="00252642" w14:paraId="6C44C225" w14:textId="77777777" w:rsidTr="009B5866">
        <w:trPr>
          <w:trHeight w:val="1210"/>
        </w:trPr>
        <w:tc>
          <w:tcPr>
            <w:tcW w:w="1795" w:type="dxa"/>
          </w:tcPr>
          <w:p w14:paraId="6A288046" w14:textId="77777777" w:rsidR="001D49AB" w:rsidRDefault="001D49AB" w:rsidP="007008AA">
            <w:pPr>
              <w:jc w:val="center"/>
            </w:pPr>
          </w:p>
          <w:p w14:paraId="230D1A37" w14:textId="41D381D4" w:rsidR="00252642" w:rsidRDefault="00321ED0" w:rsidP="007008AA">
            <w:pPr>
              <w:jc w:val="center"/>
            </w:pPr>
            <w:r>
              <w:t>Zmiana wymiarów</w:t>
            </w:r>
          </w:p>
        </w:tc>
        <w:tc>
          <w:tcPr>
            <w:tcW w:w="1795" w:type="dxa"/>
          </w:tcPr>
          <w:p w14:paraId="48B3798F" w14:textId="3F8B01D7" w:rsidR="00252642" w:rsidRDefault="002C6B8B" w:rsidP="001D49AB">
            <w:pPr>
              <w:jc w:val="center"/>
            </w:pPr>
            <w:r>
              <w:t>1-2% poprzez korozję zbrojenia lub ubytki struktury</w:t>
            </w:r>
          </w:p>
        </w:tc>
        <w:tc>
          <w:tcPr>
            <w:tcW w:w="1795" w:type="dxa"/>
          </w:tcPr>
          <w:p w14:paraId="2CADE260" w14:textId="77777777" w:rsidR="001D49AB" w:rsidRDefault="001D49AB" w:rsidP="001D49AB">
            <w:pPr>
              <w:jc w:val="center"/>
            </w:pPr>
          </w:p>
          <w:p w14:paraId="284B4B07" w14:textId="2ECDEA9A" w:rsidR="00252642" w:rsidRDefault="002C6B8B" w:rsidP="001D49AB">
            <w:pPr>
              <w:jc w:val="center"/>
            </w:pPr>
            <w:r>
              <w:t xml:space="preserve">1-2% </w:t>
            </w:r>
            <w:r w:rsidR="001D49AB">
              <w:t>poprzez ubytki materiału</w:t>
            </w:r>
          </w:p>
        </w:tc>
        <w:tc>
          <w:tcPr>
            <w:tcW w:w="1798" w:type="dxa"/>
          </w:tcPr>
          <w:p w14:paraId="6B8A0A7B" w14:textId="25D23AD8" w:rsidR="00252642" w:rsidRDefault="001476CF" w:rsidP="001D49AB">
            <w:pPr>
              <w:jc w:val="center"/>
            </w:pPr>
            <w:r>
              <w:t>10 – 15%</w:t>
            </w:r>
            <w:r w:rsidR="001D49AB">
              <w:t xml:space="preserve"> poprzez pęcznienie</w:t>
            </w:r>
          </w:p>
        </w:tc>
        <w:tc>
          <w:tcPr>
            <w:tcW w:w="1798" w:type="dxa"/>
          </w:tcPr>
          <w:p w14:paraId="31B2ACE7" w14:textId="77777777" w:rsidR="001D49AB" w:rsidRDefault="001D49AB" w:rsidP="001D49AB">
            <w:pPr>
              <w:jc w:val="center"/>
            </w:pPr>
          </w:p>
          <w:p w14:paraId="29C100B4" w14:textId="2E9FE140" w:rsidR="00252642" w:rsidRDefault="00DE103E" w:rsidP="001D49AB">
            <w:pPr>
              <w:jc w:val="center"/>
            </w:pPr>
            <w:r>
              <w:t>0%</w:t>
            </w:r>
          </w:p>
        </w:tc>
      </w:tr>
      <w:tr w:rsidR="00252642" w14:paraId="5A992487" w14:textId="77777777" w:rsidTr="009B5866">
        <w:trPr>
          <w:trHeight w:val="1152"/>
        </w:trPr>
        <w:tc>
          <w:tcPr>
            <w:tcW w:w="1795" w:type="dxa"/>
          </w:tcPr>
          <w:p w14:paraId="07A70F91" w14:textId="77777777" w:rsidR="00B1180C" w:rsidRDefault="00B1180C" w:rsidP="007008AA">
            <w:pPr>
              <w:jc w:val="center"/>
            </w:pPr>
          </w:p>
          <w:p w14:paraId="24D8ED98" w14:textId="50632C4B" w:rsidR="00252642" w:rsidRDefault="00D30F5A" w:rsidP="007008AA">
            <w:pPr>
              <w:jc w:val="center"/>
            </w:pPr>
            <w:r>
              <w:t>Ryzyko uszkodzeń</w:t>
            </w:r>
          </w:p>
        </w:tc>
        <w:tc>
          <w:tcPr>
            <w:tcW w:w="1795" w:type="dxa"/>
          </w:tcPr>
          <w:p w14:paraId="311FA647" w14:textId="54B1F433" w:rsidR="00252642" w:rsidRDefault="005C0353" w:rsidP="000A563E">
            <w:pPr>
              <w:jc w:val="center"/>
            </w:pPr>
            <w:r>
              <w:t>Korozje elementów zbrojenia, wykruszanie materiału</w:t>
            </w:r>
          </w:p>
        </w:tc>
        <w:tc>
          <w:tcPr>
            <w:tcW w:w="1795" w:type="dxa"/>
          </w:tcPr>
          <w:p w14:paraId="07F67283" w14:textId="77777777" w:rsidR="000A563E" w:rsidRDefault="000A563E" w:rsidP="000A563E">
            <w:pPr>
              <w:jc w:val="center"/>
            </w:pPr>
          </w:p>
          <w:p w14:paraId="263AC544" w14:textId="20EEE5E6" w:rsidR="00252642" w:rsidRDefault="005C0353" w:rsidP="000A563E">
            <w:pPr>
              <w:jc w:val="center"/>
            </w:pPr>
            <w:r>
              <w:t>Wy</w:t>
            </w:r>
            <w:r w:rsidR="000A563E">
              <w:t>kruszanie materiału</w:t>
            </w:r>
          </w:p>
        </w:tc>
        <w:tc>
          <w:tcPr>
            <w:tcW w:w="1798" w:type="dxa"/>
          </w:tcPr>
          <w:p w14:paraId="04B0CE5C" w14:textId="77777777" w:rsidR="000A563E" w:rsidRDefault="000A563E" w:rsidP="004B26C4">
            <w:pPr>
              <w:jc w:val="center"/>
            </w:pPr>
          </w:p>
          <w:p w14:paraId="37AE8284" w14:textId="1493C9C9" w:rsidR="00252642" w:rsidRDefault="0037474E" w:rsidP="004B26C4">
            <w:pPr>
              <w:jc w:val="center"/>
            </w:pPr>
            <w:r>
              <w:t>Pęcznienie, zagrzybienie</w:t>
            </w:r>
            <w:r w:rsidR="004B26C4">
              <w:t>, degradacja</w:t>
            </w:r>
          </w:p>
        </w:tc>
        <w:tc>
          <w:tcPr>
            <w:tcW w:w="1798" w:type="dxa"/>
          </w:tcPr>
          <w:p w14:paraId="48F90BED" w14:textId="77777777" w:rsidR="000A563E" w:rsidRDefault="000A563E" w:rsidP="004B26C4">
            <w:pPr>
              <w:jc w:val="center"/>
            </w:pPr>
          </w:p>
          <w:p w14:paraId="3CD1E05D" w14:textId="7DFAC3EB" w:rsidR="00252642" w:rsidRDefault="00C6206F" w:rsidP="004B26C4">
            <w:pPr>
              <w:jc w:val="center"/>
            </w:pPr>
            <w:r>
              <w:t>Korozja stali</w:t>
            </w:r>
            <w:r w:rsidR="005760AD">
              <w:t xml:space="preserve"> </w:t>
            </w:r>
            <w:r w:rsidR="0037474E">
              <w:t>długotrwał</w:t>
            </w:r>
            <w:r w:rsidR="000A7362">
              <w:t>a</w:t>
            </w:r>
            <w:r w:rsidR="0037474E">
              <w:t xml:space="preserve"> w czasie</w:t>
            </w:r>
          </w:p>
        </w:tc>
      </w:tr>
      <w:tr w:rsidR="00252642" w14:paraId="65370E84" w14:textId="77777777" w:rsidTr="009B5866">
        <w:trPr>
          <w:trHeight w:val="1043"/>
        </w:trPr>
        <w:tc>
          <w:tcPr>
            <w:tcW w:w="1795" w:type="dxa"/>
          </w:tcPr>
          <w:p w14:paraId="401B3997" w14:textId="3B764995" w:rsidR="00252642" w:rsidRDefault="007008AA" w:rsidP="000E703E">
            <w:pPr>
              <w:jc w:val="center"/>
            </w:pPr>
            <w:r>
              <w:t>Odporność na korozję biologiczną</w:t>
            </w:r>
          </w:p>
        </w:tc>
        <w:tc>
          <w:tcPr>
            <w:tcW w:w="1795" w:type="dxa"/>
          </w:tcPr>
          <w:p w14:paraId="6F7D3AEE" w14:textId="4774094B" w:rsidR="00252642" w:rsidRDefault="000E703E" w:rsidP="000E703E">
            <w:pPr>
              <w:jc w:val="center"/>
            </w:pPr>
            <w:r>
              <w:t>Bardzo w</w:t>
            </w:r>
            <w:r w:rsidR="00F56783">
              <w:t xml:space="preserve">ysoka </w:t>
            </w:r>
            <w:r>
              <w:t>o</w:t>
            </w:r>
            <w:r w:rsidR="00F56783">
              <w:t>dporność</w:t>
            </w:r>
          </w:p>
        </w:tc>
        <w:tc>
          <w:tcPr>
            <w:tcW w:w="1795" w:type="dxa"/>
          </w:tcPr>
          <w:p w14:paraId="324ABDF0" w14:textId="4A6E07A4" w:rsidR="00252642" w:rsidRDefault="000E703E" w:rsidP="000E703E">
            <w:pPr>
              <w:jc w:val="center"/>
            </w:pPr>
            <w:r>
              <w:t xml:space="preserve">Wysoka </w:t>
            </w:r>
            <w:r w:rsidR="001476CF">
              <w:t>o</w:t>
            </w:r>
            <w:r w:rsidR="00AB287F">
              <w:t>dporn</w:t>
            </w:r>
            <w:r>
              <w:t>ość</w:t>
            </w:r>
          </w:p>
        </w:tc>
        <w:tc>
          <w:tcPr>
            <w:tcW w:w="1798" w:type="dxa"/>
          </w:tcPr>
          <w:p w14:paraId="7865753A" w14:textId="69582FF5" w:rsidR="00252642" w:rsidRDefault="00F56783" w:rsidP="000E703E">
            <w:pPr>
              <w:jc w:val="center"/>
            </w:pPr>
            <w:r>
              <w:t>Niska odporność</w:t>
            </w:r>
          </w:p>
        </w:tc>
        <w:tc>
          <w:tcPr>
            <w:tcW w:w="1798" w:type="dxa"/>
          </w:tcPr>
          <w:p w14:paraId="674F387D" w14:textId="3BCBACA1" w:rsidR="00252642" w:rsidRDefault="00F56783" w:rsidP="000E703E">
            <w:pPr>
              <w:jc w:val="center"/>
            </w:pPr>
            <w:r>
              <w:t>Pełna odporność biologiczna</w:t>
            </w:r>
          </w:p>
        </w:tc>
      </w:tr>
    </w:tbl>
    <w:p w14:paraId="3506D67D" w14:textId="77777777" w:rsidR="00D30F5A" w:rsidRDefault="00D30F5A" w:rsidP="006B47F7">
      <w:pPr>
        <w:jc w:val="both"/>
      </w:pPr>
    </w:p>
    <w:p w14:paraId="6EF07F51" w14:textId="77777777" w:rsidR="009B5866" w:rsidRDefault="009B5866" w:rsidP="006B47F7">
      <w:pPr>
        <w:jc w:val="both"/>
      </w:pPr>
    </w:p>
    <w:p w14:paraId="15326124" w14:textId="77777777" w:rsidR="009B5866" w:rsidRDefault="009B5866" w:rsidP="006B47F7">
      <w:pPr>
        <w:jc w:val="both"/>
      </w:pPr>
    </w:p>
    <w:p w14:paraId="57A0810A" w14:textId="77777777" w:rsidR="009B5866" w:rsidRDefault="009B5866" w:rsidP="006B47F7">
      <w:pPr>
        <w:jc w:val="both"/>
      </w:pPr>
    </w:p>
    <w:p w14:paraId="7CF5A145" w14:textId="1E2BE437" w:rsidR="006B47F7" w:rsidRDefault="00610B95" w:rsidP="006B47F7">
      <w:pPr>
        <w:pStyle w:val="Akapitzlist"/>
        <w:numPr>
          <w:ilvl w:val="0"/>
          <w:numId w:val="3"/>
        </w:numPr>
        <w:jc w:val="both"/>
      </w:pPr>
      <w:r>
        <w:t>TRWAŁOŚĆ KONSTRUKCJI I CYKL ŻYCIA OBIEKTU</w:t>
      </w:r>
    </w:p>
    <w:p w14:paraId="59625AA1" w14:textId="5335CB6E" w:rsidR="00A62FBE" w:rsidRPr="00A62FBE" w:rsidRDefault="00A62FBE" w:rsidP="00A62FBE">
      <w:pPr>
        <w:jc w:val="both"/>
      </w:pPr>
      <w:r w:rsidRPr="00A62FBE">
        <w:t>W punkcie tym przeprowadzono analizę cyklu życia obiektu i jego trwałości na etapach od prac planistycznych do likwidacji budynku. Parametr ten wpływa na koszty w całym okresie użytkowania</w:t>
      </w:r>
      <w:r w:rsidR="00787904">
        <w:t>,</w:t>
      </w:r>
      <w:r w:rsidRPr="00A62FBE">
        <w:t xml:space="preserve"> od wymagań projektowych, przez zastosowane rozwiązania techniczne, koszty eksploatacji, aż po koszty remontów i demontażu lub wyburzenia.</w:t>
      </w:r>
    </w:p>
    <w:p w14:paraId="2D3BC55B" w14:textId="416E2DCB" w:rsidR="00A62FBE" w:rsidRPr="00A62FBE" w:rsidRDefault="00A62FBE" w:rsidP="00A62FBE">
      <w:pPr>
        <w:jc w:val="both"/>
      </w:pPr>
      <w:r w:rsidRPr="00A62FBE">
        <w:lastRenderedPageBreak/>
        <w:t xml:space="preserve">Planowanie, projektowanie i produkcja </w:t>
      </w:r>
      <w:r w:rsidR="001A1B97">
        <w:t xml:space="preserve">systemów </w:t>
      </w:r>
      <w:r w:rsidRPr="00A62FBE">
        <w:t>prefabryk</w:t>
      </w:r>
      <w:r w:rsidR="001A1B97">
        <w:t>owanych</w:t>
      </w:r>
      <w:r w:rsidRPr="00A62FBE">
        <w:t xml:space="preserve"> przemawiają za stosowaniem budownictwa prefabrykowanego, zwłaszcza modułowego drewnianego i stalowego. Elementy prefabrykowane są wytwarzane w warunkach zakładowych podlegających kontroli jakości, przy udziale wykwalifikowanej kadry i precyzyjnych urządzeń (np. roboty spawalnicze, maszyny CNC)</w:t>
      </w:r>
      <w:r w:rsidR="009F6A42">
        <w:t xml:space="preserve"> oraz stosowania wysoko jakościowej dokumentacji technicznej</w:t>
      </w:r>
      <w:r w:rsidRPr="00A62FBE">
        <w:t>. Wykonanie części lub całości elementów w hali produkcyjnej ogranicza trudności związane z organizacją placu budowy, jego wielkością i dostępnością.</w:t>
      </w:r>
    </w:p>
    <w:p w14:paraId="690F0474" w14:textId="77777777" w:rsidR="00A62FBE" w:rsidRPr="00A62FBE" w:rsidRDefault="00A62FBE" w:rsidP="00A62FBE">
      <w:pPr>
        <w:jc w:val="both"/>
      </w:pPr>
      <w:r w:rsidRPr="00A62FBE">
        <w:t>Każda technologia może zapewnić wysoką trwałość pod warunkiem przestrzegania odpowiednich wymagań jakościowych i stosowania właściwych rozwiązań technicznych. Technologie różnią się sposobem prowadzenia prac remontowych i związanymi z tym uciążliwościami dla użytkowników. Technologie stalowe często umożliwiają prowadzenie prac „suchych” oraz łatwiejszą wymianę poszycia, co zmniejsza uciążliwość eksploatacyjną i ułatwia adaptację układu konstrukcyjnego do nowych funkcji w długim okresie użytkowania.</w:t>
      </w:r>
    </w:p>
    <w:p w14:paraId="002AD287" w14:textId="5A772159" w:rsidR="00A62FBE" w:rsidRPr="00A62FBE" w:rsidRDefault="00A62FBE" w:rsidP="00A62FBE">
      <w:pPr>
        <w:jc w:val="both"/>
      </w:pPr>
      <w:r w:rsidRPr="00A62FBE">
        <w:t xml:space="preserve">Możliwości likwidacji obiektu zależą od technologii: w technologii tradycyjnej likwidacja może wymagać całkowitego wyburzenia, natomiast w systemach prefabrykowanych stalowych demontaż i odzysk materiałów (recykling stali) lub przeniesienie modułów do innej lokalizacji mogą być bardziej ekonomiczne. </w:t>
      </w:r>
    </w:p>
    <w:p w14:paraId="0DC4FBD4" w14:textId="3FA78AC5" w:rsidR="00A62FBE" w:rsidRDefault="00A62FBE" w:rsidP="006B47F7">
      <w:pPr>
        <w:jc w:val="both"/>
      </w:pPr>
      <w:r w:rsidRPr="00A62FBE">
        <w:t>Analizując powyższe, Inwestor opowiada się za prefabrykowaną, modułową technologią stalową jako rozwiązaniem najlepiej odpowiadającym potrzebom inwestycji oraz najbardziej ekonomicznym w całym okresie trwałości budynku.</w:t>
      </w:r>
    </w:p>
    <w:p w14:paraId="66FF4DD2" w14:textId="77777777" w:rsidR="00163B67" w:rsidRDefault="00163B67" w:rsidP="006B47F7">
      <w:pPr>
        <w:jc w:val="both"/>
      </w:pPr>
    </w:p>
    <w:tbl>
      <w:tblPr>
        <w:tblStyle w:val="Tabela-Siatka"/>
        <w:tblW w:w="9918" w:type="dxa"/>
        <w:tblLook w:val="04A0" w:firstRow="1" w:lastRow="0" w:firstColumn="1" w:lastColumn="0" w:noHBand="0" w:noVBand="1"/>
      </w:tblPr>
      <w:tblGrid>
        <w:gridCol w:w="1724"/>
        <w:gridCol w:w="1711"/>
        <w:gridCol w:w="1977"/>
        <w:gridCol w:w="2378"/>
        <w:gridCol w:w="2128"/>
      </w:tblGrid>
      <w:tr w:rsidR="005664D5" w14:paraId="3A9929A7" w14:textId="77777777" w:rsidTr="005664D5">
        <w:trPr>
          <w:trHeight w:val="817"/>
        </w:trPr>
        <w:tc>
          <w:tcPr>
            <w:tcW w:w="1573" w:type="dxa"/>
          </w:tcPr>
          <w:p w14:paraId="69C42792" w14:textId="77777777" w:rsidR="00252642" w:rsidRDefault="00252642" w:rsidP="00EE41ED">
            <w:pPr>
              <w:jc w:val="center"/>
            </w:pPr>
          </w:p>
          <w:p w14:paraId="0DD539BE" w14:textId="252EF77D" w:rsidR="00AD3B73" w:rsidRDefault="00AD3B73" w:rsidP="00EE41ED">
            <w:pPr>
              <w:jc w:val="center"/>
            </w:pPr>
            <w:r>
              <w:t>-</w:t>
            </w:r>
          </w:p>
        </w:tc>
        <w:tc>
          <w:tcPr>
            <w:tcW w:w="1598" w:type="dxa"/>
          </w:tcPr>
          <w:p w14:paraId="4814E70B" w14:textId="77777777" w:rsidR="00252642" w:rsidRDefault="00252642" w:rsidP="00EE41ED">
            <w:pPr>
              <w:jc w:val="center"/>
            </w:pPr>
            <w:r>
              <w:t>Budownictwo tradycyjne</w:t>
            </w:r>
          </w:p>
        </w:tc>
        <w:tc>
          <w:tcPr>
            <w:tcW w:w="1810" w:type="dxa"/>
          </w:tcPr>
          <w:p w14:paraId="64F0739A" w14:textId="77777777" w:rsidR="00252642" w:rsidRDefault="00252642" w:rsidP="00EE41ED">
            <w:pPr>
              <w:jc w:val="center"/>
            </w:pPr>
            <w:r>
              <w:t>Budownictwo prefabrykowane betonowe</w:t>
            </w:r>
          </w:p>
        </w:tc>
        <w:tc>
          <w:tcPr>
            <w:tcW w:w="2191" w:type="dxa"/>
          </w:tcPr>
          <w:p w14:paraId="778FB648" w14:textId="77777777" w:rsidR="00252642" w:rsidRDefault="00252642" w:rsidP="00EE41ED">
            <w:pPr>
              <w:jc w:val="center"/>
            </w:pPr>
            <w:r>
              <w:t>Budownictwo prefabrykowane drewniane</w:t>
            </w:r>
          </w:p>
        </w:tc>
        <w:tc>
          <w:tcPr>
            <w:tcW w:w="2746" w:type="dxa"/>
          </w:tcPr>
          <w:p w14:paraId="5F50D21A" w14:textId="77777777" w:rsidR="00252642" w:rsidRDefault="00252642" w:rsidP="00EE41ED">
            <w:pPr>
              <w:jc w:val="center"/>
            </w:pPr>
            <w:r>
              <w:t>Budownictwo prefabrykowane stalowe</w:t>
            </w:r>
          </w:p>
        </w:tc>
      </w:tr>
      <w:tr w:rsidR="005664D5" w14:paraId="6E418319" w14:textId="77777777" w:rsidTr="009277E6">
        <w:trPr>
          <w:trHeight w:val="2820"/>
        </w:trPr>
        <w:tc>
          <w:tcPr>
            <w:tcW w:w="1573" w:type="dxa"/>
          </w:tcPr>
          <w:p w14:paraId="37651096" w14:textId="77777777" w:rsidR="007E41DC" w:rsidRDefault="007E41DC" w:rsidP="007E41DC">
            <w:pPr>
              <w:jc w:val="center"/>
            </w:pPr>
          </w:p>
          <w:p w14:paraId="3EA238CC" w14:textId="77777777" w:rsidR="007E41DC" w:rsidRDefault="007E41DC" w:rsidP="007E41DC">
            <w:pPr>
              <w:jc w:val="center"/>
            </w:pPr>
          </w:p>
          <w:p w14:paraId="217B7663" w14:textId="77777777" w:rsidR="007E41DC" w:rsidRDefault="007E41DC" w:rsidP="007E41DC">
            <w:pPr>
              <w:jc w:val="center"/>
            </w:pPr>
          </w:p>
          <w:p w14:paraId="046AA285" w14:textId="77777777" w:rsidR="002D1DA6" w:rsidRDefault="002D1DA6" w:rsidP="007E41DC">
            <w:pPr>
              <w:jc w:val="center"/>
            </w:pPr>
          </w:p>
          <w:p w14:paraId="20DFCF53" w14:textId="3027DD89" w:rsidR="00252642" w:rsidRDefault="00220E81" w:rsidP="007E41DC">
            <w:pPr>
              <w:jc w:val="center"/>
            </w:pPr>
            <w:r>
              <w:t>Planowanie</w:t>
            </w:r>
          </w:p>
        </w:tc>
        <w:tc>
          <w:tcPr>
            <w:tcW w:w="1598" w:type="dxa"/>
          </w:tcPr>
          <w:p w14:paraId="45216CF5" w14:textId="299466DB" w:rsidR="00252642" w:rsidRDefault="00394B51" w:rsidP="00DA7A0D">
            <w:pPr>
              <w:jc w:val="center"/>
            </w:pPr>
            <w:r>
              <w:t>Związane z planowaniem</w:t>
            </w:r>
            <w:r w:rsidR="00DA7A0D">
              <w:t xml:space="preserve"> zaplecza budowy i metod wykonania prac budowlanych (plac budowy)</w:t>
            </w:r>
          </w:p>
        </w:tc>
        <w:tc>
          <w:tcPr>
            <w:tcW w:w="1810" w:type="dxa"/>
          </w:tcPr>
          <w:p w14:paraId="2E5DC99F" w14:textId="5D8EECBC" w:rsidR="00252642" w:rsidRDefault="00A5278D" w:rsidP="00DA7A0D">
            <w:pPr>
              <w:jc w:val="center"/>
            </w:pPr>
            <w:r>
              <w:t>Pośrednie pomiędzy prefabrykacją w zakładzie i pracami na placu budowy</w:t>
            </w:r>
            <w:r w:rsidR="00E65452">
              <w:t xml:space="preserve">. Powiązane z </w:t>
            </w:r>
            <w:r w:rsidR="000E0337">
              <w:t>planem</w:t>
            </w:r>
            <w:r w:rsidR="00E65452">
              <w:t xml:space="preserve"> montażu</w:t>
            </w:r>
          </w:p>
        </w:tc>
        <w:tc>
          <w:tcPr>
            <w:tcW w:w="2191" w:type="dxa"/>
          </w:tcPr>
          <w:p w14:paraId="4A59F78C" w14:textId="77777777" w:rsidR="007E41DC" w:rsidRDefault="007E41DC" w:rsidP="00DA7A0D">
            <w:pPr>
              <w:jc w:val="center"/>
            </w:pPr>
          </w:p>
          <w:p w14:paraId="5E39012A" w14:textId="77777777" w:rsidR="002D1DA6" w:rsidRDefault="002D1DA6" w:rsidP="00DA7A0D">
            <w:pPr>
              <w:jc w:val="center"/>
            </w:pPr>
          </w:p>
          <w:p w14:paraId="5F0CB1B3" w14:textId="09E98251" w:rsidR="00252642" w:rsidRDefault="001A5097" w:rsidP="00DA7A0D">
            <w:pPr>
              <w:jc w:val="center"/>
            </w:pPr>
            <w:r>
              <w:t>Ściśle związane z produkcją zakładową (wysoki stopień prefabrykacji)</w:t>
            </w:r>
          </w:p>
        </w:tc>
        <w:tc>
          <w:tcPr>
            <w:tcW w:w="2746" w:type="dxa"/>
          </w:tcPr>
          <w:p w14:paraId="1299A42D" w14:textId="77777777" w:rsidR="007E41DC" w:rsidRDefault="007E41DC" w:rsidP="00DA7A0D">
            <w:pPr>
              <w:jc w:val="center"/>
            </w:pPr>
          </w:p>
          <w:p w14:paraId="1BB38035" w14:textId="77777777" w:rsidR="002D1DA6" w:rsidRDefault="002D1DA6" w:rsidP="00DA7A0D">
            <w:pPr>
              <w:jc w:val="center"/>
            </w:pPr>
          </w:p>
          <w:p w14:paraId="050A112C" w14:textId="4BEE9ABF" w:rsidR="00252642" w:rsidRDefault="005743BE" w:rsidP="00DA7A0D">
            <w:pPr>
              <w:jc w:val="center"/>
            </w:pPr>
            <w:r>
              <w:t xml:space="preserve">Ściśle związane z produkcją zakładową (wysoki stopień </w:t>
            </w:r>
            <w:r w:rsidR="004F190D">
              <w:t>prefabrykacji</w:t>
            </w:r>
            <w:r w:rsidR="001A5097">
              <w:t>)</w:t>
            </w:r>
          </w:p>
        </w:tc>
      </w:tr>
      <w:tr w:rsidR="005664D5" w14:paraId="04E841B5" w14:textId="77777777" w:rsidTr="009277E6">
        <w:trPr>
          <w:trHeight w:val="2675"/>
        </w:trPr>
        <w:tc>
          <w:tcPr>
            <w:tcW w:w="1573" w:type="dxa"/>
          </w:tcPr>
          <w:p w14:paraId="20448860" w14:textId="77777777" w:rsidR="00AB2006" w:rsidRDefault="00AB2006" w:rsidP="00AB2006">
            <w:pPr>
              <w:jc w:val="center"/>
            </w:pPr>
          </w:p>
          <w:p w14:paraId="2B1D0497" w14:textId="77777777" w:rsidR="00AF3132" w:rsidRDefault="00AF3132" w:rsidP="00AB2006">
            <w:pPr>
              <w:jc w:val="center"/>
            </w:pPr>
          </w:p>
          <w:p w14:paraId="79C99807" w14:textId="77777777" w:rsidR="00AF3132" w:rsidRDefault="00AF3132" w:rsidP="00AB2006">
            <w:pPr>
              <w:jc w:val="center"/>
            </w:pPr>
          </w:p>
          <w:p w14:paraId="5F66EF81" w14:textId="77777777" w:rsidR="00AF3132" w:rsidRDefault="00AF3132" w:rsidP="00B71F92"/>
          <w:p w14:paraId="624F462C" w14:textId="39507A0C" w:rsidR="00AB2006" w:rsidRDefault="00AB2006" w:rsidP="00AB2006">
            <w:pPr>
              <w:jc w:val="center"/>
            </w:pPr>
            <w:r>
              <w:t>Projektowanie</w:t>
            </w:r>
          </w:p>
        </w:tc>
        <w:tc>
          <w:tcPr>
            <w:tcW w:w="1598" w:type="dxa"/>
          </w:tcPr>
          <w:p w14:paraId="39DC3A59" w14:textId="77777777" w:rsidR="00D10447" w:rsidRDefault="00D10447" w:rsidP="00AF3132">
            <w:pPr>
              <w:jc w:val="center"/>
            </w:pPr>
          </w:p>
          <w:p w14:paraId="30581E5E" w14:textId="77777777" w:rsidR="00D10447" w:rsidRDefault="00D10447" w:rsidP="00B71F92"/>
          <w:p w14:paraId="5918B917" w14:textId="77777777" w:rsidR="00D10447" w:rsidRDefault="00D10447" w:rsidP="00AF3132">
            <w:pPr>
              <w:jc w:val="center"/>
            </w:pPr>
          </w:p>
          <w:p w14:paraId="1643FC00" w14:textId="3F91D803" w:rsidR="00AB2006" w:rsidRDefault="00AF3132" w:rsidP="00AF3132">
            <w:pPr>
              <w:jc w:val="center"/>
            </w:pPr>
            <w:r>
              <w:t>Standardowa dokumentacja techniczna.</w:t>
            </w:r>
          </w:p>
        </w:tc>
        <w:tc>
          <w:tcPr>
            <w:tcW w:w="1810" w:type="dxa"/>
          </w:tcPr>
          <w:p w14:paraId="492742B3" w14:textId="4F5E51B0" w:rsidR="00AB2006" w:rsidRDefault="00AB2006" w:rsidP="00AF3132">
            <w:pPr>
              <w:jc w:val="center"/>
            </w:pPr>
            <w:r>
              <w:t>W zakresie konstrukcyjnym specjalistyczna dokumentacja warsztatowa.</w:t>
            </w:r>
            <w:r w:rsidR="00AF3132">
              <w:t xml:space="preserve"> W pozostałym zakresie dokumentacja standardowa</w:t>
            </w:r>
          </w:p>
        </w:tc>
        <w:tc>
          <w:tcPr>
            <w:tcW w:w="2191" w:type="dxa"/>
          </w:tcPr>
          <w:p w14:paraId="0236976F" w14:textId="6E653464" w:rsidR="00AB2006" w:rsidRDefault="00AB2006" w:rsidP="00AF3132">
            <w:pPr>
              <w:jc w:val="center"/>
            </w:pPr>
            <w:r>
              <w:t>Specjalistyczne oprogramowanie. Wysoki stopień szczegółowości dokumentacji przestrzennej. (projekty wykonawcze i warsztatowe)</w:t>
            </w:r>
          </w:p>
        </w:tc>
        <w:tc>
          <w:tcPr>
            <w:tcW w:w="2746" w:type="dxa"/>
          </w:tcPr>
          <w:p w14:paraId="035C3EF7" w14:textId="3998A985" w:rsidR="00AB2006" w:rsidRDefault="00AB2006" w:rsidP="00AF3132">
            <w:pPr>
              <w:jc w:val="center"/>
            </w:pPr>
            <w:r>
              <w:t>Specjalistyczne oprogramowanie. Wysoki stopień szczegółowości dokumentacji przestrzennej. (projekty wykonawcze i warsztatowe)</w:t>
            </w:r>
          </w:p>
        </w:tc>
      </w:tr>
      <w:tr w:rsidR="005664D5" w14:paraId="33A119A1" w14:textId="77777777" w:rsidTr="005664D5">
        <w:trPr>
          <w:trHeight w:val="1177"/>
        </w:trPr>
        <w:tc>
          <w:tcPr>
            <w:tcW w:w="1573" w:type="dxa"/>
          </w:tcPr>
          <w:p w14:paraId="031348A7" w14:textId="77777777" w:rsidR="00B81256" w:rsidRDefault="00B81256" w:rsidP="00B81256">
            <w:pPr>
              <w:jc w:val="center"/>
            </w:pPr>
          </w:p>
          <w:p w14:paraId="37D6A79E" w14:textId="77777777" w:rsidR="00B81256" w:rsidRDefault="00B81256" w:rsidP="00B81256">
            <w:pPr>
              <w:jc w:val="center"/>
            </w:pPr>
          </w:p>
          <w:p w14:paraId="4B0E58CB" w14:textId="77777777" w:rsidR="00B81256" w:rsidRDefault="00B81256" w:rsidP="00B81256">
            <w:pPr>
              <w:jc w:val="center"/>
            </w:pPr>
          </w:p>
          <w:p w14:paraId="11B967A9" w14:textId="77777777" w:rsidR="00B81256" w:rsidRDefault="00B81256" w:rsidP="00B81256">
            <w:pPr>
              <w:jc w:val="center"/>
            </w:pPr>
          </w:p>
          <w:p w14:paraId="0738460C" w14:textId="77777777" w:rsidR="00B81256" w:rsidRDefault="00B81256" w:rsidP="00B81256">
            <w:pPr>
              <w:jc w:val="center"/>
            </w:pPr>
          </w:p>
          <w:p w14:paraId="0755FA59" w14:textId="77777777" w:rsidR="00B81256" w:rsidRDefault="00B81256" w:rsidP="00B81256">
            <w:pPr>
              <w:jc w:val="center"/>
            </w:pPr>
          </w:p>
          <w:p w14:paraId="5D2D7B29" w14:textId="14E3EF09" w:rsidR="00B81256" w:rsidRDefault="00B81256" w:rsidP="00B81256">
            <w:pPr>
              <w:jc w:val="center"/>
            </w:pPr>
            <w:r>
              <w:t>Budowa</w:t>
            </w:r>
          </w:p>
        </w:tc>
        <w:tc>
          <w:tcPr>
            <w:tcW w:w="1598" w:type="dxa"/>
          </w:tcPr>
          <w:p w14:paraId="1DAEB134" w14:textId="77777777" w:rsidR="00270612" w:rsidRDefault="00270612" w:rsidP="00B81256">
            <w:pPr>
              <w:jc w:val="center"/>
            </w:pPr>
          </w:p>
          <w:p w14:paraId="56273801" w14:textId="77777777" w:rsidR="00270612" w:rsidRDefault="00270612" w:rsidP="00B81256">
            <w:pPr>
              <w:jc w:val="center"/>
            </w:pPr>
          </w:p>
          <w:p w14:paraId="34DAAA3E" w14:textId="51D0E67D" w:rsidR="00B81256" w:rsidRDefault="00B81256" w:rsidP="00B81256">
            <w:pPr>
              <w:jc w:val="center"/>
            </w:pPr>
            <w:r>
              <w:t>Tradycyjny plac budowy z pełnym zapleczem. Prace wpływające na otoczenie i środowisko.</w:t>
            </w:r>
          </w:p>
        </w:tc>
        <w:tc>
          <w:tcPr>
            <w:tcW w:w="1810" w:type="dxa"/>
          </w:tcPr>
          <w:p w14:paraId="43C1D102" w14:textId="04DDA87F" w:rsidR="00B81256" w:rsidRDefault="00B81256" w:rsidP="00B81256">
            <w:pPr>
              <w:jc w:val="center"/>
            </w:pPr>
            <w:r>
              <w:t>Tradycyjny plac budowy z pełnym zapleczem. Prace wpływające na otoczenie i środowisko. Cześć prac wykonywana w zakładzie produkcyjnym.</w:t>
            </w:r>
          </w:p>
        </w:tc>
        <w:tc>
          <w:tcPr>
            <w:tcW w:w="2191" w:type="dxa"/>
          </w:tcPr>
          <w:p w14:paraId="7D7C1450" w14:textId="129C0486" w:rsidR="00B81256" w:rsidRDefault="00B81256" w:rsidP="00B81256">
            <w:pPr>
              <w:jc w:val="center"/>
            </w:pPr>
            <w:r>
              <w:t>Większość prac prowadzona w zakładzie produkcyjnym. Wpływ logistyki dostawy i montażu obiektu Szczątkowe prace budowlane wykonywane na placu budowy</w:t>
            </w:r>
          </w:p>
        </w:tc>
        <w:tc>
          <w:tcPr>
            <w:tcW w:w="2746" w:type="dxa"/>
          </w:tcPr>
          <w:p w14:paraId="6069BBA0" w14:textId="77777777" w:rsidR="00B81256" w:rsidRDefault="00B81256" w:rsidP="00B81256">
            <w:pPr>
              <w:jc w:val="both"/>
            </w:pPr>
            <w:r>
              <w:t>Większość prac prowadzona w zakładzie produkcyjnym. Wpływ logistyki dostawy i montażu obiektu Szczątkowe prace budowlane wykonywane na placu budowy</w:t>
            </w:r>
            <w:r w:rsidR="00182839">
              <w:t>.</w:t>
            </w:r>
          </w:p>
          <w:p w14:paraId="1C24320F" w14:textId="1339D3EF" w:rsidR="00182839" w:rsidRDefault="00182839" w:rsidP="00B81256">
            <w:pPr>
              <w:jc w:val="both"/>
            </w:pPr>
            <w:r>
              <w:t>90% mniejsza emisja CO</w:t>
            </w:r>
            <w:r w:rsidR="00F365BB">
              <w:t>2</w:t>
            </w:r>
          </w:p>
        </w:tc>
      </w:tr>
      <w:tr w:rsidR="005664D5" w14:paraId="599F6498" w14:textId="77777777" w:rsidTr="00457E75">
        <w:trPr>
          <w:trHeight w:val="1969"/>
        </w:trPr>
        <w:tc>
          <w:tcPr>
            <w:tcW w:w="1573" w:type="dxa"/>
          </w:tcPr>
          <w:p w14:paraId="31037C58" w14:textId="77777777" w:rsidR="00DA70D7" w:rsidRDefault="00DA70D7" w:rsidP="00DA70D7">
            <w:pPr>
              <w:jc w:val="center"/>
            </w:pPr>
          </w:p>
          <w:p w14:paraId="65AD8E9C" w14:textId="77777777" w:rsidR="00E40B0E" w:rsidRDefault="00E40B0E" w:rsidP="00DA70D7">
            <w:pPr>
              <w:jc w:val="center"/>
              <w:rPr>
                <w:highlight w:val="yellow"/>
              </w:rPr>
            </w:pPr>
          </w:p>
          <w:p w14:paraId="41D1D9D2" w14:textId="77777777" w:rsidR="00E40B0E" w:rsidRDefault="00E40B0E" w:rsidP="00DA70D7">
            <w:pPr>
              <w:jc w:val="center"/>
              <w:rPr>
                <w:highlight w:val="yellow"/>
              </w:rPr>
            </w:pPr>
          </w:p>
          <w:p w14:paraId="112784F7" w14:textId="77777777" w:rsidR="00E40B0E" w:rsidRDefault="00E40B0E" w:rsidP="00DA70D7">
            <w:pPr>
              <w:jc w:val="center"/>
              <w:rPr>
                <w:highlight w:val="yellow"/>
              </w:rPr>
            </w:pPr>
          </w:p>
          <w:p w14:paraId="7D644673" w14:textId="77777777" w:rsidR="00E40B0E" w:rsidRDefault="00E40B0E" w:rsidP="00DA70D7">
            <w:pPr>
              <w:jc w:val="center"/>
              <w:rPr>
                <w:highlight w:val="yellow"/>
              </w:rPr>
            </w:pPr>
          </w:p>
          <w:p w14:paraId="25E604B1" w14:textId="77777777" w:rsidR="00E40B0E" w:rsidRDefault="00E40B0E" w:rsidP="00DA70D7">
            <w:pPr>
              <w:jc w:val="center"/>
              <w:rPr>
                <w:highlight w:val="yellow"/>
              </w:rPr>
            </w:pPr>
          </w:p>
          <w:p w14:paraId="46610776" w14:textId="0AEFA051" w:rsidR="00DA70D7" w:rsidRDefault="00DA70D7" w:rsidP="00DA70D7">
            <w:pPr>
              <w:jc w:val="center"/>
            </w:pPr>
            <w:r w:rsidRPr="00E40B0E">
              <w:t>Użytkowanie i trwałość</w:t>
            </w:r>
          </w:p>
        </w:tc>
        <w:tc>
          <w:tcPr>
            <w:tcW w:w="1598" w:type="dxa"/>
          </w:tcPr>
          <w:p w14:paraId="53793914" w14:textId="77777777" w:rsidR="00DB2491" w:rsidRDefault="00DB2491" w:rsidP="00E40B0E">
            <w:pPr>
              <w:jc w:val="center"/>
            </w:pPr>
          </w:p>
          <w:p w14:paraId="5B70A64A" w14:textId="77777777" w:rsidR="00DB2491" w:rsidRDefault="00DB2491" w:rsidP="00E40B0E">
            <w:pPr>
              <w:jc w:val="center"/>
            </w:pPr>
          </w:p>
          <w:p w14:paraId="4B44757C" w14:textId="6C8F95BF" w:rsidR="00DA70D7" w:rsidRDefault="00DA70D7" w:rsidP="00E40B0E">
            <w:pPr>
              <w:jc w:val="center"/>
            </w:pPr>
            <w:r>
              <w:t>Wysoka trwałość obiektu. Średnie koszty użytkowania obiektu w odniesieniu do remontów i modernizacji.</w:t>
            </w:r>
          </w:p>
          <w:p w14:paraId="136808C5" w14:textId="25A4C34F" w:rsidR="00DA70D7" w:rsidRDefault="00E40B0E" w:rsidP="00E40B0E">
            <w:pPr>
              <w:jc w:val="center"/>
            </w:pPr>
            <w:r>
              <w:t>Wysoki</w:t>
            </w:r>
            <w:r w:rsidR="00DA70D7">
              <w:t xml:space="preserve"> czas trwałości &gt;100 lat</w:t>
            </w:r>
          </w:p>
        </w:tc>
        <w:tc>
          <w:tcPr>
            <w:tcW w:w="1810" w:type="dxa"/>
          </w:tcPr>
          <w:p w14:paraId="05FB4923" w14:textId="77777777" w:rsidR="00DA70D7" w:rsidRDefault="00DA70D7" w:rsidP="00E40B0E">
            <w:pPr>
              <w:jc w:val="center"/>
            </w:pPr>
            <w:r>
              <w:t>Wysoka trwałość obiektu. Średnie koszty użytkowania obiektu w odniesieniu do remontów i modernizacji.</w:t>
            </w:r>
          </w:p>
          <w:p w14:paraId="19252B4F" w14:textId="34F69A40" w:rsidR="00DA70D7" w:rsidRDefault="00DA70D7" w:rsidP="00E40B0E">
            <w:pPr>
              <w:jc w:val="center"/>
            </w:pPr>
            <w:r>
              <w:t xml:space="preserve">Średni czas trwałości </w:t>
            </w:r>
            <w:r w:rsidR="00702A08">
              <w:t>≥</w:t>
            </w:r>
            <w:r>
              <w:t>100 lat</w:t>
            </w:r>
            <w:r w:rsidR="00DB2491">
              <w:t xml:space="preserve"> (korozja elementów żelbetowych/ betonowych)</w:t>
            </w:r>
          </w:p>
        </w:tc>
        <w:tc>
          <w:tcPr>
            <w:tcW w:w="2191" w:type="dxa"/>
          </w:tcPr>
          <w:p w14:paraId="2453CE05" w14:textId="77777777" w:rsidR="001E4A41" w:rsidRDefault="001E4A41" w:rsidP="001E4A41">
            <w:pPr>
              <w:jc w:val="center"/>
            </w:pPr>
          </w:p>
          <w:p w14:paraId="14D86A11" w14:textId="3E136BC2" w:rsidR="001E4A41" w:rsidRDefault="001E4A41" w:rsidP="001E4A41">
            <w:pPr>
              <w:jc w:val="center"/>
            </w:pPr>
            <w:r>
              <w:t>Średnia trwałość obiektu. Wysokie koszty użytkowania obiektu w odniesieniu do remontów i modernizacji.</w:t>
            </w:r>
          </w:p>
          <w:p w14:paraId="41FB42F3" w14:textId="1B03D110" w:rsidR="00DA70D7" w:rsidRDefault="001E4A41" w:rsidP="001E4A41">
            <w:pPr>
              <w:jc w:val="center"/>
            </w:pPr>
            <w:r>
              <w:t>Średni czas trwałości = 100 lat (korozja elementów drewnianych / drewnopochodnych)</w:t>
            </w:r>
          </w:p>
        </w:tc>
        <w:tc>
          <w:tcPr>
            <w:tcW w:w="2746" w:type="dxa"/>
          </w:tcPr>
          <w:p w14:paraId="61C6053D" w14:textId="77777777" w:rsidR="009D1012" w:rsidRDefault="009D1012" w:rsidP="009D1012">
            <w:pPr>
              <w:jc w:val="center"/>
            </w:pPr>
          </w:p>
          <w:p w14:paraId="6A2A9F2A" w14:textId="77777777" w:rsidR="009D1012" w:rsidRDefault="009D1012" w:rsidP="009D1012">
            <w:pPr>
              <w:jc w:val="center"/>
            </w:pPr>
          </w:p>
          <w:p w14:paraId="32624C52" w14:textId="04C3E4BB" w:rsidR="009D1012" w:rsidRDefault="009D1012" w:rsidP="009D1012">
            <w:pPr>
              <w:jc w:val="center"/>
            </w:pPr>
            <w:r>
              <w:t>Wysoka trwałość obiektu. Niskie koszty użytkowania obiektu w odniesieniu do remontów i modernizacji.</w:t>
            </w:r>
          </w:p>
          <w:p w14:paraId="5F444888" w14:textId="0016C45A" w:rsidR="00DA70D7" w:rsidRDefault="009D1012" w:rsidP="009D1012">
            <w:pPr>
              <w:jc w:val="both"/>
            </w:pPr>
            <w:r>
              <w:t>Wysoki czas trwałości &gt;100 lat</w:t>
            </w:r>
          </w:p>
        </w:tc>
      </w:tr>
      <w:tr w:rsidR="005664D5" w14:paraId="73C1CECC" w14:textId="77777777" w:rsidTr="00B71F92">
        <w:trPr>
          <w:trHeight w:val="3103"/>
        </w:trPr>
        <w:tc>
          <w:tcPr>
            <w:tcW w:w="1573" w:type="dxa"/>
          </w:tcPr>
          <w:p w14:paraId="57DB5FE0" w14:textId="77777777" w:rsidR="00DA70D7" w:rsidRDefault="00DA70D7" w:rsidP="00DA70D7">
            <w:pPr>
              <w:jc w:val="center"/>
            </w:pPr>
          </w:p>
          <w:p w14:paraId="2AE37106" w14:textId="77777777" w:rsidR="00DA70D7" w:rsidRDefault="00DA70D7" w:rsidP="00DA70D7">
            <w:pPr>
              <w:jc w:val="center"/>
            </w:pPr>
          </w:p>
          <w:p w14:paraId="0522D0FA" w14:textId="77777777" w:rsidR="00DA70D7" w:rsidRDefault="00DA70D7" w:rsidP="00DA70D7"/>
          <w:p w14:paraId="5BC5F805" w14:textId="77777777" w:rsidR="00DA70D7" w:rsidRDefault="00DA70D7" w:rsidP="00DA70D7">
            <w:pPr>
              <w:jc w:val="center"/>
            </w:pPr>
          </w:p>
          <w:p w14:paraId="5E1E8A66" w14:textId="23B7C324" w:rsidR="00DA70D7" w:rsidRDefault="00DA70D7" w:rsidP="0046405F">
            <w:pPr>
              <w:jc w:val="center"/>
            </w:pPr>
            <w:r>
              <w:t>Modernizacja</w:t>
            </w:r>
          </w:p>
        </w:tc>
        <w:tc>
          <w:tcPr>
            <w:tcW w:w="1598" w:type="dxa"/>
          </w:tcPr>
          <w:p w14:paraId="54B06569" w14:textId="776EB12A" w:rsidR="00DA70D7" w:rsidRDefault="00DA70D7" w:rsidP="00DA70D7">
            <w:pPr>
              <w:jc w:val="center"/>
            </w:pPr>
            <w:r>
              <w:t>Wymagające prace budowlane, wyłączające duży zakres funkcjonalny obiektu. Duża ilość prac pylący i mokrych.</w:t>
            </w:r>
          </w:p>
        </w:tc>
        <w:tc>
          <w:tcPr>
            <w:tcW w:w="1810" w:type="dxa"/>
          </w:tcPr>
          <w:p w14:paraId="0E2F5EBD" w14:textId="48A24AE1" w:rsidR="00DA70D7" w:rsidRDefault="00DA70D7" w:rsidP="00DA70D7">
            <w:pPr>
              <w:jc w:val="center"/>
            </w:pPr>
            <w:r>
              <w:t>Wymagające prace budowlane, wyłączające duży zakres funkcjonalny obiektu. Duża ilość prac pylący i mokrych.</w:t>
            </w:r>
          </w:p>
        </w:tc>
        <w:tc>
          <w:tcPr>
            <w:tcW w:w="2191" w:type="dxa"/>
          </w:tcPr>
          <w:p w14:paraId="4A523A39" w14:textId="09F2BB02" w:rsidR="00DA70D7" w:rsidRDefault="00DA70D7" w:rsidP="00DA70D7">
            <w:pPr>
              <w:jc w:val="center"/>
            </w:pPr>
            <w:r>
              <w:t>Ze względu na ustrój budowalny oparty na drewnie, skomplikowana wymiana, wzmocnienia lub usunięcie elementów nośnych.</w:t>
            </w:r>
          </w:p>
        </w:tc>
        <w:tc>
          <w:tcPr>
            <w:tcW w:w="2746" w:type="dxa"/>
          </w:tcPr>
          <w:p w14:paraId="4F907413" w14:textId="3DDEBF97" w:rsidR="00DA70D7" w:rsidRDefault="00DA70D7" w:rsidP="00DA70D7">
            <w:pPr>
              <w:jc w:val="center"/>
            </w:pPr>
            <w:r>
              <w:t>Ze względu na ustrój słupowo – ryglowy możliwość kształtowania przestrzeni w oparciu o prace suche, nie pylące.</w:t>
            </w:r>
          </w:p>
        </w:tc>
      </w:tr>
      <w:tr w:rsidR="005664D5" w14:paraId="39DFA7A0" w14:textId="77777777" w:rsidTr="009277E6">
        <w:trPr>
          <w:trHeight w:val="3018"/>
        </w:trPr>
        <w:tc>
          <w:tcPr>
            <w:tcW w:w="1573" w:type="dxa"/>
          </w:tcPr>
          <w:p w14:paraId="6F4CBB83" w14:textId="77777777" w:rsidR="00DA70D7" w:rsidRDefault="00DA70D7" w:rsidP="00DA70D7">
            <w:pPr>
              <w:jc w:val="center"/>
            </w:pPr>
          </w:p>
          <w:p w14:paraId="2B7ABDB1" w14:textId="77777777" w:rsidR="00DA70D7" w:rsidRDefault="00DA70D7" w:rsidP="00DA70D7"/>
          <w:p w14:paraId="0F5D373E" w14:textId="77777777" w:rsidR="00DA70D7" w:rsidRDefault="00DA70D7" w:rsidP="00DA70D7">
            <w:pPr>
              <w:jc w:val="center"/>
            </w:pPr>
          </w:p>
          <w:p w14:paraId="507484EE" w14:textId="77777777" w:rsidR="00DA70D7" w:rsidRDefault="00DA70D7" w:rsidP="00DA70D7">
            <w:pPr>
              <w:jc w:val="center"/>
            </w:pPr>
          </w:p>
          <w:p w14:paraId="5B0F415A" w14:textId="77777777" w:rsidR="00DA70D7" w:rsidRDefault="00DA70D7" w:rsidP="00DA70D7">
            <w:pPr>
              <w:jc w:val="center"/>
            </w:pPr>
          </w:p>
          <w:p w14:paraId="6CFE0664" w14:textId="211C705C" w:rsidR="00DA70D7" w:rsidRDefault="00DA70D7" w:rsidP="00DA70D7">
            <w:pPr>
              <w:jc w:val="center"/>
            </w:pPr>
            <w:r>
              <w:t>Likwidacja</w:t>
            </w:r>
          </w:p>
        </w:tc>
        <w:tc>
          <w:tcPr>
            <w:tcW w:w="1598" w:type="dxa"/>
          </w:tcPr>
          <w:p w14:paraId="73C7078F" w14:textId="77777777" w:rsidR="00DA70D7" w:rsidRDefault="00DA70D7" w:rsidP="00DA70D7">
            <w:pPr>
              <w:jc w:val="center"/>
            </w:pPr>
          </w:p>
          <w:p w14:paraId="2266A9C8" w14:textId="77777777" w:rsidR="00DA70D7" w:rsidRDefault="00DA70D7" w:rsidP="00DA70D7">
            <w:pPr>
              <w:jc w:val="center"/>
            </w:pPr>
          </w:p>
          <w:p w14:paraId="6848268F" w14:textId="3579F2DC" w:rsidR="00DA70D7" w:rsidRDefault="00DA70D7" w:rsidP="00DA70D7">
            <w:pPr>
              <w:jc w:val="center"/>
            </w:pPr>
            <w:r>
              <w:t>Konieczność całkowitego wyburzenia. Prac uciążliwe. Niski procent recyklingu</w:t>
            </w:r>
          </w:p>
        </w:tc>
        <w:tc>
          <w:tcPr>
            <w:tcW w:w="1810" w:type="dxa"/>
          </w:tcPr>
          <w:p w14:paraId="32FC3303" w14:textId="11ACD7BC" w:rsidR="00DA70D7" w:rsidRDefault="00DA70D7" w:rsidP="00DA70D7">
            <w:pPr>
              <w:jc w:val="center"/>
            </w:pPr>
            <w:r>
              <w:t>Konieczność wykonania częściowych prac wyburzeniowych i demontażowych Prac uciążliwe. Niski procent recyklingu</w:t>
            </w:r>
          </w:p>
        </w:tc>
        <w:tc>
          <w:tcPr>
            <w:tcW w:w="2191" w:type="dxa"/>
          </w:tcPr>
          <w:p w14:paraId="103DC59F" w14:textId="6ED32BCF" w:rsidR="00DA70D7" w:rsidRDefault="00DA70D7" w:rsidP="00DA70D7">
            <w:pPr>
              <w:jc w:val="center"/>
            </w:pPr>
            <w:r>
              <w:t>Budynek do demontażu. Ze względu na specyfikę materiału trudność ponownego wykorzystania struktury. Wysoki procent recyklingu</w:t>
            </w:r>
          </w:p>
        </w:tc>
        <w:tc>
          <w:tcPr>
            <w:tcW w:w="2746" w:type="dxa"/>
          </w:tcPr>
          <w:p w14:paraId="1BBD76D2" w14:textId="77777777" w:rsidR="00DA70D7" w:rsidRDefault="00DA70D7" w:rsidP="00DA70D7">
            <w:pPr>
              <w:jc w:val="center"/>
            </w:pPr>
          </w:p>
          <w:p w14:paraId="3A3278FB" w14:textId="77777777" w:rsidR="00DA70D7" w:rsidRDefault="00DA70D7" w:rsidP="00DA70D7">
            <w:pPr>
              <w:jc w:val="center"/>
            </w:pPr>
          </w:p>
          <w:p w14:paraId="2CD31BD6" w14:textId="4E8407F7" w:rsidR="00DA70D7" w:rsidRDefault="00DA70D7" w:rsidP="00DA70D7">
            <w:pPr>
              <w:jc w:val="center"/>
            </w:pPr>
            <w:r>
              <w:t>Możliwość demontażu i wykorzystania obiektu w nowej lokalizacji. Wysoki procent recyklingu</w:t>
            </w:r>
          </w:p>
        </w:tc>
      </w:tr>
    </w:tbl>
    <w:p w14:paraId="66CA86BE" w14:textId="77777777" w:rsidR="006B47F7" w:rsidRDefault="006B47F7" w:rsidP="006B47F7">
      <w:pPr>
        <w:jc w:val="both"/>
      </w:pPr>
    </w:p>
    <w:p w14:paraId="5432DBC2" w14:textId="472E910B" w:rsidR="00163B67" w:rsidRDefault="00862616" w:rsidP="00163B67">
      <w:pPr>
        <w:pStyle w:val="Akapitzlist"/>
        <w:numPr>
          <w:ilvl w:val="0"/>
          <w:numId w:val="3"/>
        </w:numPr>
        <w:jc w:val="both"/>
      </w:pPr>
      <w:r>
        <w:t>SPEŁNIENIE WYMAGAŃ DNSH</w:t>
      </w:r>
      <w:r w:rsidR="001C2941">
        <w:t>, EFEKTYWNOŚCI ENERGIETYCNZJE I EP</w:t>
      </w:r>
      <w:r w:rsidR="001C004E">
        <w:t>BD</w:t>
      </w:r>
    </w:p>
    <w:p w14:paraId="4F4EFF5C" w14:textId="77777777" w:rsidR="000D5A0A" w:rsidRPr="000D5A0A" w:rsidRDefault="000D5A0A" w:rsidP="000D5A0A">
      <w:pPr>
        <w:jc w:val="both"/>
      </w:pPr>
      <w:r w:rsidRPr="000D5A0A">
        <w:t>W związku z wprowadzaniem w budownictwie nowych oraz zaostrzaniem istniejących dyrektyw dotyczących ochrony środowiska, racjonalnego gospodarowania zasobami oraz energooszczędności obiektów, przeprowadzono analizę tego zagadnienia.</w:t>
      </w:r>
    </w:p>
    <w:p w14:paraId="24A74C42" w14:textId="14887188" w:rsidR="000D5A0A" w:rsidRPr="000D5A0A" w:rsidRDefault="000D5A0A" w:rsidP="000D5A0A">
      <w:pPr>
        <w:jc w:val="both"/>
      </w:pPr>
      <w:r w:rsidRPr="000D5A0A">
        <w:t xml:space="preserve">Większość współczesnych technologii budowlanych jest w stanie spełnić obowiązujące wymagania poprzez zastosowanie odpowiednich rozwiązań technicznych oraz właściwych materiałów. Istotne różnice pojawiają się jednak w obszarze gospodarki o obiegu zamkniętym, możliwości recyklingu oraz redukcji emisji </w:t>
      </w:r>
      <w:r w:rsidR="008E4D2A" w:rsidRPr="000D5A0A">
        <w:t>CO</w:t>
      </w:r>
      <w:r w:rsidR="008E4D2A">
        <w:t xml:space="preserve">2 </w:t>
      </w:r>
      <w:r w:rsidR="008E4D2A" w:rsidRPr="000D5A0A">
        <w:t>wynikającej</w:t>
      </w:r>
      <w:r w:rsidRPr="000D5A0A">
        <w:t xml:space="preserve"> z doboru materiałów i sposobu ich produkcji. W przypadku konstrukcji stalowych prefabrykowanych poziom recyklingu materiału może przekraczać </w:t>
      </w:r>
      <w:r w:rsidR="00586A11">
        <w:t>80</w:t>
      </w:r>
      <w:r w:rsidRPr="000D5A0A">
        <w:t xml:space="preserve">%, </w:t>
      </w:r>
      <w:r w:rsidR="00C83455">
        <w:t>zaś redukcja emisji CO2 poprzez stosowanie odpowiednich materiałów i sposobu produkcji sięgać nawet 90%</w:t>
      </w:r>
      <w:r w:rsidR="005108BE">
        <w:t xml:space="preserve"> co</w:t>
      </w:r>
      <w:r w:rsidRPr="000D5A0A">
        <w:t xml:space="preserve"> znacząco wpływa na ograniczenie śladu węglowego inwestycji.</w:t>
      </w:r>
    </w:p>
    <w:p w14:paraId="41253FAA" w14:textId="77777777" w:rsidR="000D5A0A" w:rsidRPr="000D5A0A" w:rsidRDefault="000D5A0A" w:rsidP="000D5A0A">
      <w:pPr>
        <w:jc w:val="both"/>
      </w:pPr>
      <w:r w:rsidRPr="000D5A0A">
        <w:t>Z tego względu inwestor skłania się ku wyborowi technologii prefabrykowanej, modułowej w konstrukcji stalowej, która pozwala spełnić rygorystyczne wymagania dyrektyw środowiskowych – zarówno pod względem recyklingu, jak i ograniczenia wpływu procesu wytwarzania obiektu na środowisko.</w:t>
      </w:r>
    </w:p>
    <w:p w14:paraId="1ED3C8C9" w14:textId="77777777" w:rsidR="00163B67" w:rsidRDefault="00163B67" w:rsidP="00163B67">
      <w:pPr>
        <w:jc w:val="both"/>
      </w:pPr>
    </w:p>
    <w:tbl>
      <w:tblPr>
        <w:tblStyle w:val="Tabela-Siatka"/>
        <w:tblW w:w="10090" w:type="dxa"/>
        <w:tblLook w:val="04A0" w:firstRow="1" w:lastRow="0" w:firstColumn="1" w:lastColumn="0" w:noHBand="0" w:noVBand="1"/>
      </w:tblPr>
      <w:tblGrid>
        <w:gridCol w:w="2084"/>
        <w:gridCol w:w="2084"/>
        <w:gridCol w:w="1951"/>
        <w:gridCol w:w="2191"/>
        <w:gridCol w:w="2191"/>
      </w:tblGrid>
      <w:tr w:rsidR="003D395E" w14:paraId="0CB030F1" w14:textId="77777777" w:rsidTr="003A67C7">
        <w:trPr>
          <w:trHeight w:val="743"/>
        </w:trPr>
        <w:tc>
          <w:tcPr>
            <w:tcW w:w="1989" w:type="dxa"/>
          </w:tcPr>
          <w:p w14:paraId="4E08B880" w14:textId="77777777" w:rsidR="00252642" w:rsidRDefault="00252642" w:rsidP="00EE41ED">
            <w:pPr>
              <w:jc w:val="center"/>
            </w:pPr>
          </w:p>
        </w:tc>
        <w:tc>
          <w:tcPr>
            <w:tcW w:w="1981" w:type="dxa"/>
          </w:tcPr>
          <w:p w14:paraId="3F9AD2C7" w14:textId="77777777" w:rsidR="00252642" w:rsidRDefault="00252642" w:rsidP="00EE41ED">
            <w:pPr>
              <w:jc w:val="center"/>
            </w:pPr>
            <w:r>
              <w:t>Budownictwo tradycyjne</w:t>
            </w:r>
          </w:p>
        </w:tc>
        <w:tc>
          <w:tcPr>
            <w:tcW w:w="1876" w:type="dxa"/>
          </w:tcPr>
          <w:p w14:paraId="3194F2B0" w14:textId="77777777" w:rsidR="00252642" w:rsidRDefault="00252642" w:rsidP="00EE41ED">
            <w:pPr>
              <w:jc w:val="center"/>
            </w:pPr>
            <w:r>
              <w:t>Budownictwo prefabrykowane betonowe</w:t>
            </w:r>
          </w:p>
        </w:tc>
        <w:tc>
          <w:tcPr>
            <w:tcW w:w="2122" w:type="dxa"/>
          </w:tcPr>
          <w:p w14:paraId="3A2F0DF9" w14:textId="77777777" w:rsidR="00252642" w:rsidRDefault="00252642" w:rsidP="00EE41ED">
            <w:pPr>
              <w:jc w:val="center"/>
            </w:pPr>
            <w:r>
              <w:t>Budownictwo prefabrykowane drewniane</w:t>
            </w:r>
          </w:p>
        </w:tc>
        <w:tc>
          <w:tcPr>
            <w:tcW w:w="2122" w:type="dxa"/>
          </w:tcPr>
          <w:p w14:paraId="3A37E099" w14:textId="77777777" w:rsidR="00252642" w:rsidRDefault="00252642" w:rsidP="00EE41ED">
            <w:pPr>
              <w:jc w:val="center"/>
            </w:pPr>
            <w:r>
              <w:t>Budownictwo prefabrykowane stalowe</w:t>
            </w:r>
          </w:p>
        </w:tc>
      </w:tr>
      <w:tr w:rsidR="00DA489E" w14:paraId="2375F569" w14:textId="77777777" w:rsidTr="003A67C7">
        <w:trPr>
          <w:trHeight w:val="1068"/>
        </w:trPr>
        <w:tc>
          <w:tcPr>
            <w:tcW w:w="1989" w:type="dxa"/>
          </w:tcPr>
          <w:p w14:paraId="3EED3683" w14:textId="77777777" w:rsidR="00DA489E" w:rsidRDefault="00DA489E" w:rsidP="00DA489E">
            <w:pPr>
              <w:jc w:val="center"/>
            </w:pPr>
          </w:p>
          <w:p w14:paraId="279A4992" w14:textId="77777777" w:rsidR="00DA489E" w:rsidRDefault="00DA489E" w:rsidP="007C2B29"/>
          <w:p w14:paraId="094DDC1D" w14:textId="77777777" w:rsidR="007C2B29" w:rsidRDefault="007C2B29" w:rsidP="007C2B29"/>
          <w:p w14:paraId="5E523B7B" w14:textId="6328999F" w:rsidR="00DA489E" w:rsidRPr="0063242B" w:rsidRDefault="00DA489E" w:rsidP="00DA489E">
            <w:pPr>
              <w:jc w:val="center"/>
            </w:pPr>
            <w:r w:rsidRPr="0063242B">
              <w:t>Szczelność obiektu</w:t>
            </w:r>
          </w:p>
        </w:tc>
        <w:tc>
          <w:tcPr>
            <w:tcW w:w="1981" w:type="dxa"/>
          </w:tcPr>
          <w:p w14:paraId="13C0C4CA" w14:textId="2D0F089F" w:rsidR="00DA489E" w:rsidRDefault="00DA489E" w:rsidP="00AA72D0">
            <w:pPr>
              <w:jc w:val="center"/>
            </w:pPr>
            <w:r>
              <w:t>Do spełnienia przy rygorystycznych normach wykonania i jakości połączeń</w:t>
            </w:r>
          </w:p>
        </w:tc>
        <w:tc>
          <w:tcPr>
            <w:tcW w:w="1876" w:type="dxa"/>
          </w:tcPr>
          <w:p w14:paraId="654A2A75" w14:textId="00E2161A" w:rsidR="00DA489E" w:rsidRDefault="00DA489E" w:rsidP="00AA72D0">
            <w:pPr>
              <w:jc w:val="center"/>
            </w:pPr>
            <w:r>
              <w:t>Do spełnienia przy rygorystycznych normach</w:t>
            </w:r>
            <w:r w:rsidR="00AA72D0">
              <w:t xml:space="preserve"> </w:t>
            </w:r>
            <w:r>
              <w:t>wykonania i jakości</w:t>
            </w:r>
            <w:r w:rsidR="00AA72D0">
              <w:t xml:space="preserve"> </w:t>
            </w:r>
            <w:r>
              <w:t>połączeń</w:t>
            </w:r>
          </w:p>
        </w:tc>
        <w:tc>
          <w:tcPr>
            <w:tcW w:w="2122" w:type="dxa"/>
          </w:tcPr>
          <w:p w14:paraId="694BC9BB" w14:textId="09C5F5BB" w:rsidR="00DA489E" w:rsidRDefault="00DA489E" w:rsidP="00DA489E">
            <w:pPr>
              <w:jc w:val="center"/>
            </w:pPr>
            <w:r>
              <w:t>Możliwa / trudna do spełnienia poprzez niestabilność wymiarową obciążeniem i wilgocią</w:t>
            </w:r>
          </w:p>
        </w:tc>
        <w:tc>
          <w:tcPr>
            <w:tcW w:w="2122" w:type="dxa"/>
          </w:tcPr>
          <w:p w14:paraId="1937DDC1" w14:textId="77777777" w:rsidR="00DA489E" w:rsidRDefault="00DA489E" w:rsidP="00DA489E">
            <w:pPr>
              <w:jc w:val="center"/>
            </w:pPr>
          </w:p>
          <w:p w14:paraId="17FB16D6" w14:textId="77777777" w:rsidR="00DA489E" w:rsidRDefault="00DA489E" w:rsidP="00DA489E">
            <w:pPr>
              <w:jc w:val="center"/>
            </w:pPr>
          </w:p>
          <w:p w14:paraId="1B86F51C" w14:textId="0F42FD46" w:rsidR="00DA489E" w:rsidRDefault="00DA489E" w:rsidP="00DA489E">
            <w:pPr>
              <w:jc w:val="center"/>
            </w:pPr>
            <w:r>
              <w:t>Do spełnienia na poziomie n</w:t>
            </w:r>
            <w:r w:rsidRPr="00E46866">
              <w:rPr>
                <w:sz w:val="18"/>
                <w:szCs w:val="18"/>
              </w:rPr>
              <w:t>50</w:t>
            </w:r>
            <w:r>
              <w:t>≤0,6h¯¹</w:t>
            </w:r>
          </w:p>
        </w:tc>
      </w:tr>
      <w:tr w:rsidR="00DA489E" w14:paraId="478BED4A" w14:textId="77777777" w:rsidTr="003A67C7">
        <w:trPr>
          <w:trHeight w:val="693"/>
        </w:trPr>
        <w:tc>
          <w:tcPr>
            <w:tcW w:w="1989" w:type="dxa"/>
          </w:tcPr>
          <w:p w14:paraId="251E89F4" w14:textId="77777777" w:rsidR="00DA489E" w:rsidRDefault="00DA489E" w:rsidP="00DA489E">
            <w:pPr>
              <w:jc w:val="center"/>
            </w:pPr>
          </w:p>
          <w:p w14:paraId="3421EA94" w14:textId="77777777" w:rsidR="00DA489E" w:rsidRDefault="00DA489E" w:rsidP="00DA489E">
            <w:pPr>
              <w:jc w:val="center"/>
            </w:pPr>
          </w:p>
          <w:p w14:paraId="37787A6C" w14:textId="77777777" w:rsidR="00DA489E" w:rsidRDefault="00DA489E" w:rsidP="00DA489E">
            <w:pPr>
              <w:jc w:val="center"/>
            </w:pPr>
          </w:p>
          <w:p w14:paraId="48A1A4D3" w14:textId="77777777" w:rsidR="00DA489E" w:rsidRDefault="00DA489E" w:rsidP="00DA489E">
            <w:pPr>
              <w:jc w:val="center"/>
            </w:pPr>
          </w:p>
          <w:p w14:paraId="7F54867F" w14:textId="23FD548F" w:rsidR="00DA489E" w:rsidRPr="0063242B" w:rsidRDefault="00DA489E" w:rsidP="00DA489E">
            <w:pPr>
              <w:jc w:val="center"/>
            </w:pPr>
            <w:r w:rsidRPr="0063242B">
              <w:lastRenderedPageBreak/>
              <w:t>Minimalizacja odpadów i recykling</w:t>
            </w:r>
          </w:p>
        </w:tc>
        <w:tc>
          <w:tcPr>
            <w:tcW w:w="1981" w:type="dxa"/>
          </w:tcPr>
          <w:p w14:paraId="4BE9C6BF" w14:textId="77777777" w:rsidR="002B5F44" w:rsidRDefault="002B5F44" w:rsidP="002B5F44">
            <w:pPr>
              <w:jc w:val="center"/>
            </w:pPr>
          </w:p>
          <w:p w14:paraId="0DD1027F" w14:textId="77777777" w:rsidR="002B5F44" w:rsidRDefault="002B5F44" w:rsidP="002B5F44">
            <w:pPr>
              <w:jc w:val="center"/>
            </w:pPr>
          </w:p>
          <w:p w14:paraId="68B8AFAB" w14:textId="265967E7" w:rsidR="00DA489E" w:rsidRDefault="000418C8" w:rsidP="002B5F44">
            <w:pPr>
              <w:jc w:val="center"/>
            </w:pPr>
            <w:r>
              <w:t xml:space="preserve">Bardzo trudne spełnienie </w:t>
            </w:r>
            <w:r>
              <w:lastRenderedPageBreak/>
              <w:t>kryterium kwalifikacji – odzysk odpadów i recykling &lt;</w:t>
            </w:r>
            <w:r w:rsidR="002B5F44">
              <w:t>5</w:t>
            </w:r>
            <w:r>
              <w:t>0%</w:t>
            </w:r>
          </w:p>
        </w:tc>
        <w:tc>
          <w:tcPr>
            <w:tcW w:w="1876" w:type="dxa"/>
          </w:tcPr>
          <w:p w14:paraId="1ECAE168" w14:textId="77777777" w:rsidR="00DA489E" w:rsidRDefault="00DA489E" w:rsidP="00DA489E">
            <w:pPr>
              <w:jc w:val="center"/>
            </w:pPr>
          </w:p>
          <w:p w14:paraId="7FB9D42F" w14:textId="77777777" w:rsidR="00DA489E" w:rsidRDefault="00DA489E" w:rsidP="00DA489E">
            <w:pPr>
              <w:jc w:val="center"/>
            </w:pPr>
          </w:p>
          <w:p w14:paraId="103824F1" w14:textId="683621C1" w:rsidR="00DA489E" w:rsidRDefault="00DA489E" w:rsidP="00DA489E">
            <w:pPr>
              <w:jc w:val="center"/>
            </w:pPr>
            <w:r>
              <w:t xml:space="preserve">Trudne spełnienie </w:t>
            </w:r>
            <w:r>
              <w:lastRenderedPageBreak/>
              <w:t>kryterium kwalifikacji – odzysk odpadów i recykling &lt;70%</w:t>
            </w:r>
          </w:p>
        </w:tc>
        <w:tc>
          <w:tcPr>
            <w:tcW w:w="2122" w:type="dxa"/>
          </w:tcPr>
          <w:p w14:paraId="03FCC29A" w14:textId="77777777" w:rsidR="00DA489E" w:rsidRDefault="00DA489E" w:rsidP="00DA489E">
            <w:pPr>
              <w:jc w:val="center"/>
            </w:pPr>
          </w:p>
          <w:p w14:paraId="54EDE1A7" w14:textId="3E9C0F1E" w:rsidR="00DA489E" w:rsidRDefault="00DA489E" w:rsidP="00DA489E">
            <w:pPr>
              <w:jc w:val="center"/>
            </w:pPr>
            <w:r>
              <w:t xml:space="preserve">Wysoka oszczędność materiałów </w:t>
            </w:r>
            <w:r>
              <w:lastRenderedPageBreak/>
              <w:t>poprzez odpowiednie planowanie, 75% materiałów do recyklingu.</w:t>
            </w:r>
          </w:p>
        </w:tc>
        <w:tc>
          <w:tcPr>
            <w:tcW w:w="2122" w:type="dxa"/>
          </w:tcPr>
          <w:p w14:paraId="44F6B509" w14:textId="05006A03" w:rsidR="00DA489E" w:rsidRDefault="00DA489E" w:rsidP="00DA489E">
            <w:pPr>
              <w:jc w:val="center"/>
            </w:pPr>
            <w:r>
              <w:lastRenderedPageBreak/>
              <w:t xml:space="preserve">Wysoka oszczędność materiałów poprzez </w:t>
            </w:r>
            <w:r>
              <w:lastRenderedPageBreak/>
              <w:t>odpowiednie planowanie, 80% materiałów do recyklingu. Stal możliwa do pełnego recyklingu</w:t>
            </w:r>
          </w:p>
        </w:tc>
      </w:tr>
      <w:tr w:rsidR="00DA489E" w14:paraId="410050ED" w14:textId="77777777" w:rsidTr="003A67C7">
        <w:trPr>
          <w:trHeight w:val="1068"/>
        </w:trPr>
        <w:tc>
          <w:tcPr>
            <w:tcW w:w="1989" w:type="dxa"/>
          </w:tcPr>
          <w:p w14:paraId="452F7D8D" w14:textId="77777777" w:rsidR="00DA489E" w:rsidRDefault="00DA489E" w:rsidP="00DA489E">
            <w:pPr>
              <w:jc w:val="center"/>
            </w:pPr>
          </w:p>
          <w:p w14:paraId="27D3B91F" w14:textId="77777777" w:rsidR="00DA489E" w:rsidRDefault="00DA489E" w:rsidP="00DA489E">
            <w:pPr>
              <w:jc w:val="center"/>
            </w:pPr>
          </w:p>
          <w:p w14:paraId="43BA6303" w14:textId="77777777" w:rsidR="00DA489E" w:rsidRDefault="00DA489E" w:rsidP="00DA489E">
            <w:pPr>
              <w:jc w:val="center"/>
            </w:pPr>
          </w:p>
          <w:p w14:paraId="0CEA1394" w14:textId="77777777" w:rsidR="00DA489E" w:rsidRDefault="00DA489E" w:rsidP="00DA489E">
            <w:pPr>
              <w:jc w:val="center"/>
            </w:pPr>
          </w:p>
          <w:p w14:paraId="5E1B139C" w14:textId="60753E76" w:rsidR="00DA489E" w:rsidRPr="0063242B" w:rsidRDefault="00DA489E" w:rsidP="00DA489E">
            <w:pPr>
              <w:jc w:val="center"/>
            </w:pPr>
            <w:r w:rsidRPr="0063242B">
              <w:t>Zapobieganie zanieczyszczeniu</w:t>
            </w:r>
          </w:p>
        </w:tc>
        <w:tc>
          <w:tcPr>
            <w:tcW w:w="1981" w:type="dxa"/>
          </w:tcPr>
          <w:p w14:paraId="4FCC3ECF" w14:textId="4E2EAA92" w:rsidR="00DA489E" w:rsidRDefault="00DA489E" w:rsidP="00DA489E">
            <w:pPr>
              <w:jc w:val="center"/>
            </w:pPr>
            <w:r>
              <w:t>Wysoka emisyjność materiałów. Duże zapylenie podczas prowadzenia prac. Możliwość zanieczyszczenia wód</w:t>
            </w:r>
          </w:p>
        </w:tc>
        <w:tc>
          <w:tcPr>
            <w:tcW w:w="1876" w:type="dxa"/>
          </w:tcPr>
          <w:p w14:paraId="69925DB1" w14:textId="4F02B828" w:rsidR="00DA489E" w:rsidRDefault="00DA489E" w:rsidP="00DA489E">
            <w:pPr>
              <w:jc w:val="center"/>
            </w:pPr>
            <w:r>
              <w:t>Średnia emisyjność materiałów. Sporadyczne zapylenie. Incydentalne zanieczyszczeni wód</w:t>
            </w:r>
          </w:p>
        </w:tc>
        <w:tc>
          <w:tcPr>
            <w:tcW w:w="2122" w:type="dxa"/>
          </w:tcPr>
          <w:p w14:paraId="112610DE" w14:textId="77777777" w:rsidR="00DA489E" w:rsidRDefault="00DA489E" w:rsidP="00DA489E">
            <w:pPr>
              <w:jc w:val="center"/>
            </w:pPr>
          </w:p>
          <w:p w14:paraId="4DD72A57" w14:textId="77777777" w:rsidR="00DA489E" w:rsidRDefault="00DA489E" w:rsidP="00DA489E">
            <w:pPr>
              <w:jc w:val="center"/>
            </w:pPr>
          </w:p>
          <w:p w14:paraId="2F214EFB" w14:textId="7C61C533" w:rsidR="00DA489E" w:rsidRDefault="00DA489E" w:rsidP="00DA489E">
            <w:pPr>
              <w:jc w:val="center"/>
            </w:pPr>
            <w:r>
              <w:t>Niska emisyjność materiałów. Brak emisji pyłów budowlanych</w:t>
            </w:r>
          </w:p>
        </w:tc>
        <w:tc>
          <w:tcPr>
            <w:tcW w:w="2122" w:type="dxa"/>
          </w:tcPr>
          <w:p w14:paraId="1A31CC31" w14:textId="77777777" w:rsidR="00DA489E" w:rsidRDefault="00DA489E" w:rsidP="00DA489E">
            <w:pPr>
              <w:jc w:val="center"/>
            </w:pPr>
          </w:p>
          <w:p w14:paraId="7451D97A" w14:textId="77777777" w:rsidR="00DA489E" w:rsidRDefault="00DA489E" w:rsidP="00DA489E">
            <w:pPr>
              <w:jc w:val="center"/>
            </w:pPr>
          </w:p>
          <w:p w14:paraId="2BDFBA71" w14:textId="03732B54" w:rsidR="00DA489E" w:rsidRDefault="00DA489E" w:rsidP="00DA489E">
            <w:pPr>
              <w:jc w:val="center"/>
            </w:pPr>
            <w:r>
              <w:t>Niska emisyjność materiałów. Brak emisji pyłów budowlanych</w:t>
            </w:r>
          </w:p>
        </w:tc>
      </w:tr>
      <w:tr w:rsidR="00DA489E" w14:paraId="456153F8" w14:textId="77777777" w:rsidTr="003A67C7">
        <w:trPr>
          <w:trHeight w:val="1068"/>
        </w:trPr>
        <w:tc>
          <w:tcPr>
            <w:tcW w:w="1989" w:type="dxa"/>
          </w:tcPr>
          <w:p w14:paraId="342F247F" w14:textId="77777777" w:rsidR="00DA489E" w:rsidRDefault="00DA489E" w:rsidP="00DA489E">
            <w:pPr>
              <w:jc w:val="center"/>
            </w:pPr>
          </w:p>
          <w:p w14:paraId="5532B44E" w14:textId="77777777" w:rsidR="00DA489E" w:rsidRDefault="00DA489E" w:rsidP="00DA489E">
            <w:pPr>
              <w:jc w:val="center"/>
            </w:pPr>
          </w:p>
          <w:p w14:paraId="35FC53BB" w14:textId="77777777" w:rsidR="00DA489E" w:rsidRDefault="00DA489E" w:rsidP="00DA489E">
            <w:pPr>
              <w:jc w:val="center"/>
            </w:pPr>
          </w:p>
          <w:p w14:paraId="1FE9D4FD" w14:textId="77777777" w:rsidR="00DA489E" w:rsidRDefault="00DA489E" w:rsidP="00DA489E">
            <w:pPr>
              <w:jc w:val="center"/>
            </w:pPr>
          </w:p>
          <w:p w14:paraId="442D5FB3" w14:textId="2C24EECC" w:rsidR="00DA489E" w:rsidRPr="0063242B" w:rsidRDefault="00DA489E" w:rsidP="00DA489E">
            <w:pPr>
              <w:jc w:val="center"/>
            </w:pPr>
            <w:r w:rsidRPr="0063242B">
              <w:t>Gospodarowanie w obiegu zamkniętym</w:t>
            </w:r>
          </w:p>
        </w:tc>
        <w:tc>
          <w:tcPr>
            <w:tcW w:w="1981" w:type="dxa"/>
          </w:tcPr>
          <w:p w14:paraId="1BBD3A6F" w14:textId="32CF77C0" w:rsidR="00DA489E" w:rsidRDefault="00DF298B" w:rsidP="00804C6C">
            <w:pPr>
              <w:jc w:val="center"/>
            </w:pPr>
            <w:r>
              <w:t xml:space="preserve">Wysoka ilość odpadów budowlanych. </w:t>
            </w:r>
            <w:r w:rsidR="00FC6807">
              <w:t xml:space="preserve">Skomplikowane procedury </w:t>
            </w:r>
            <w:r w:rsidR="00804C6C">
              <w:t>gospodarowania odpadami w obiegu zamkniętym</w:t>
            </w:r>
          </w:p>
        </w:tc>
        <w:tc>
          <w:tcPr>
            <w:tcW w:w="1876" w:type="dxa"/>
          </w:tcPr>
          <w:p w14:paraId="73E21725" w14:textId="77777777" w:rsidR="004E7C73" w:rsidRDefault="004E7C73" w:rsidP="004E7C73">
            <w:pPr>
              <w:jc w:val="center"/>
            </w:pPr>
          </w:p>
          <w:p w14:paraId="42E34F9A" w14:textId="77777777" w:rsidR="004E7C73" w:rsidRDefault="004E7C73" w:rsidP="004E7C73">
            <w:pPr>
              <w:jc w:val="center"/>
            </w:pPr>
          </w:p>
          <w:p w14:paraId="0C0EC7D0" w14:textId="439EEC7D" w:rsidR="00DA489E" w:rsidRDefault="00DF298B" w:rsidP="004E7C73">
            <w:pPr>
              <w:jc w:val="center"/>
            </w:pPr>
            <w:r>
              <w:t>Średnia ilość odpadów budowlanych</w:t>
            </w:r>
            <w:r w:rsidR="00FC6807">
              <w:t>.</w:t>
            </w:r>
          </w:p>
          <w:p w14:paraId="45777716" w14:textId="5796A3B3" w:rsidR="008D583B" w:rsidRDefault="008D583B" w:rsidP="004E7C73">
            <w:pPr>
              <w:jc w:val="center"/>
            </w:pPr>
            <w:r>
              <w:t>Mi</w:t>
            </w:r>
            <w:r w:rsidR="004E7C73">
              <w:t>nimalizacja segregacji materiałów</w:t>
            </w:r>
          </w:p>
        </w:tc>
        <w:tc>
          <w:tcPr>
            <w:tcW w:w="2122" w:type="dxa"/>
          </w:tcPr>
          <w:p w14:paraId="13205AC4" w14:textId="4CED1C9D" w:rsidR="00DA489E" w:rsidRDefault="00DA489E" w:rsidP="00DA489E">
            <w:pPr>
              <w:jc w:val="center"/>
            </w:pPr>
            <w:r w:rsidRPr="00F95307">
              <w:rPr>
                <w:rFonts w:cs="Arial"/>
              </w:rPr>
              <w:t>Technologia budownictwa prefabrykowanego ogranicza ilość odpadów na budowie.</w:t>
            </w:r>
            <w:r>
              <w:rPr>
                <w:rFonts w:cs="Arial"/>
              </w:rPr>
              <w:t xml:space="preserve"> Łatwość segregacji i usunięcia materiałów niebezpiecznych</w:t>
            </w:r>
          </w:p>
        </w:tc>
        <w:tc>
          <w:tcPr>
            <w:tcW w:w="2122" w:type="dxa"/>
          </w:tcPr>
          <w:p w14:paraId="5B46C786" w14:textId="05AD9FEF" w:rsidR="00DA489E" w:rsidRPr="00F95307" w:rsidRDefault="00DA489E" w:rsidP="00DA489E">
            <w:pPr>
              <w:jc w:val="center"/>
            </w:pPr>
            <w:r w:rsidRPr="00F95307">
              <w:rPr>
                <w:rFonts w:cs="Arial"/>
              </w:rPr>
              <w:t>Technologia budownictwa prefabrykowanego ogranicza ilość odpadów na budowie.</w:t>
            </w:r>
            <w:r>
              <w:rPr>
                <w:rFonts w:cs="Arial"/>
              </w:rPr>
              <w:t xml:space="preserve"> Łatwość segregacji i usunięcia materiałów niebezpiecznych</w:t>
            </w:r>
          </w:p>
        </w:tc>
      </w:tr>
      <w:tr w:rsidR="00DA489E" w14:paraId="7621CD4B" w14:textId="77777777" w:rsidTr="003A67C7">
        <w:trPr>
          <w:trHeight w:val="708"/>
        </w:trPr>
        <w:tc>
          <w:tcPr>
            <w:tcW w:w="1989" w:type="dxa"/>
          </w:tcPr>
          <w:p w14:paraId="55C16BC9" w14:textId="77777777" w:rsidR="00DA489E" w:rsidRDefault="00DA489E" w:rsidP="00DA489E">
            <w:pPr>
              <w:jc w:val="center"/>
              <w:rPr>
                <w:rFonts w:cs="Arial"/>
              </w:rPr>
            </w:pPr>
          </w:p>
          <w:p w14:paraId="51339C0F" w14:textId="77777777" w:rsidR="00DA489E" w:rsidRDefault="00DA489E" w:rsidP="00DA489E">
            <w:pPr>
              <w:jc w:val="center"/>
              <w:rPr>
                <w:rFonts w:cs="Arial"/>
              </w:rPr>
            </w:pPr>
          </w:p>
          <w:p w14:paraId="6C660047" w14:textId="77777777" w:rsidR="00DA489E" w:rsidRDefault="00DA489E" w:rsidP="00DA489E">
            <w:pPr>
              <w:jc w:val="center"/>
              <w:rPr>
                <w:rFonts w:cs="Arial"/>
              </w:rPr>
            </w:pPr>
          </w:p>
          <w:p w14:paraId="5C9E9B93" w14:textId="77777777" w:rsidR="00DA489E" w:rsidRDefault="00DA489E" w:rsidP="00DA489E">
            <w:pPr>
              <w:jc w:val="center"/>
              <w:rPr>
                <w:rFonts w:cs="Arial"/>
              </w:rPr>
            </w:pPr>
          </w:p>
          <w:p w14:paraId="1D7FC545" w14:textId="77777777" w:rsidR="00DA489E" w:rsidRDefault="00DA489E" w:rsidP="00DA489E">
            <w:pPr>
              <w:jc w:val="center"/>
              <w:rPr>
                <w:rFonts w:cs="Arial"/>
              </w:rPr>
            </w:pPr>
          </w:p>
          <w:p w14:paraId="0E291433" w14:textId="4BC346CB" w:rsidR="00DA489E" w:rsidRPr="0063242B" w:rsidRDefault="00DA489E" w:rsidP="00DA489E">
            <w:pPr>
              <w:jc w:val="center"/>
              <w:rPr>
                <w:rFonts w:cs="Arial"/>
              </w:rPr>
            </w:pPr>
            <w:r>
              <w:rPr>
                <w:rFonts w:cs="Arial"/>
              </w:rPr>
              <w:t>Minimalizacje hałasu</w:t>
            </w:r>
          </w:p>
        </w:tc>
        <w:tc>
          <w:tcPr>
            <w:tcW w:w="1981" w:type="dxa"/>
          </w:tcPr>
          <w:p w14:paraId="5DBAAC94" w14:textId="77777777" w:rsidR="00DA489E" w:rsidRDefault="00DA489E" w:rsidP="00DA489E">
            <w:pPr>
              <w:jc w:val="center"/>
            </w:pPr>
          </w:p>
          <w:p w14:paraId="58F897E1" w14:textId="02D26D60" w:rsidR="00DA489E" w:rsidRDefault="00DA489E" w:rsidP="00DA489E">
            <w:pPr>
              <w:jc w:val="center"/>
            </w:pPr>
            <w:r>
              <w:t>Ze względu na wykonanie obiektu bezpośrednio na terenie wszelki hałas od maszyn i urządzeń (&gt;100db)</w:t>
            </w:r>
          </w:p>
        </w:tc>
        <w:tc>
          <w:tcPr>
            <w:tcW w:w="1876" w:type="dxa"/>
          </w:tcPr>
          <w:p w14:paraId="53E78B26" w14:textId="632C9900" w:rsidR="00DA489E" w:rsidRDefault="00DA489E" w:rsidP="00DA489E">
            <w:pPr>
              <w:jc w:val="center"/>
            </w:pPr>
            <w:r>
              <w:t>Prefabrykacja na terenie zakładu produkcji. Podczas wykonania obiektu na terenie budowy od ciężkiego sprzętu (70 –100 db)</w:t>
            </w:r>
          </w:p>
        </w:tc>
        <w:tc>
          <w:tcPr>
            <w:tcW w:w="2122" w:type="dxa"/>
          </w:tcPr>
          <w:p w14:paraId="0C3C85A5" w14:textId="77777777" w:rsidR="00DA489E" w:rsidRDefault="00DA489E" w:rsidP="00DA489E">
            <w:pPr>
              <w:jc w:val="center"/>
            </w:pPr>
          </w:p>
          <w:p w14:paraId="74D206AB" w14:textId="30BE3679" w:rsidR="00DA489E" w:rsidRDefault="00DA489E" w:rsidP="00DA489E">
            <w:pPr>
              <w:jc w:val="center"/>
            </w:pPr>
            <w:r>
              <w:t>Prefabrykacja na terenie zakładu produkcji. Podczas montażu obiektu minimalny hałas od maszyn (max. do 50 db)</w:t>
            </w:r>
          </w:p>
        </w:tc>
        <w:tc>
          <w:tcPr>
            <w:tcW w:w="2122" w:type="dxa"/>
          </w:tcPr>
          <w:p w14:paraId="0A2BA576" w14:textId="77777777" w:rsidR="00DA489E" w:rsidRDefault="00DA489E" w:rsidP="00DA489E">
            <w:pPr>
              <w:jc w:val="center"/>
            </w:pPr>
          </w:p>
          <w:p w14:paraId="3856D478" w14:textId="08DFBB93" w:rsidR="00DA489E" w:rsidRDefault="00DA489E" w:rsidP="00DA489E">
            <w:pPr>
              <w:jc w:val="center"/>
            </w:pPr>
            <w:r>
              <w:t>Prefabrykacja na terenie zakładu produkcji. Podczas montażu obiektu minimalny hałas od maszyn (max. do 50 db)</w:t>
            </w:r>
          </w:p>
        </w:tc>
      </w:tr>
    </w:tbl>
    <w:p w14:paraId="50D07635" w14:textId="77777777" w:rsidR="006B47F7" w:rsidRDefault="006B47F7" w:rsidP="006B47F7">
      <w:pPr>
        <w:jc w:val="both"/>
      </w:pPr>
    </w:p>
    <w:p w14:paraId="5C82458E" w14:textId="11C78E14" w:rsidR="006B47F7" w:rsidRDefault="006B47F7" w:rsidP="00454750">
      <w:pPr>
        <w:pStyle w:val="Akapitzlist"/>
        <w:numPr>
          <w:ilvl w:val="0"/>
          <w:numId w:val="3"/>
        </w:numPr>
        <w:jc w:val="both"/>
      </w:pPr>
      <w:r>
        <w:t>RYZYKA INWESTYCYJNE</w:t>
      </w:r>
    </w:p>
    <w:p w14:paraId="6E536AFC" w14:textId="03D116EB" w:rsidR="003A67C7" w:rsidRDefault="000D3703" w:rsidP="000D3703">
      <w:pPr>
        <w:jc w:val="both"/>
      </w:pPr>
      <w:r>
        <w:t>Poniżej</w:t>
      </w:r>
      <w:r w:rsidR="00677CE8">
        <w:t xml:space="preserve">, tabelarycznie </w:t>
      </w:r>
      <w:r>
        <w:t xml:space="preserve">przedstawiono </w:t>
      </w:r>
      <w:r w:rsidR="00677CE8">
        <w:t>zagadnienia związane z ryzyk</w:t>
      </w:r>
      <w:r w:rsidR="00DD7FD3">
        <w:t>iem</w:t>
      </w:r>
      <w:r w:rsidR="00677CE8">
        <w:t xml:space="preserve"> inwestycyjnym</w:t>
      </w:r>
      <w:r w:rsidR="00DD7FD3">
        <w:t xml:space="preserve"> </w:t>
      </w:r>
      <w:r w:rsidR="00F812B9">
        <w:t>wiążącym</w:t>
      </w:r>
      <w:r w:rsidR="00DD7FD3">
        <w:t xml:space="preserve"> się z terminowym, jakościowym i </w:t>
      </w:r>
      <w:r w:rsidR="00F812B9">
        <w:t>kosztowym aspektem budowy obiektu.</w:t>
      </w:r>
      <w:r w:rsidR="00677CE8">
        <w:t xml:space="preserve"> </w:t>
      </w:r>
    </w:p>
    <w:p w14:paraId="0BDCDF5E" w14:textId="77777777" w:rsidR="00F812B9" w:rsidRDefault="00F812B9" w:rsidP="000D3703">
      <w:pPr>
        <w:jc w:val="both"/>
      </w:pPr>
    </w:p>
    <w:tbl>
      <w:tblPr>
        <w:tblStyle w:val="Tabela-Siatka"/>
        <w:tblW w:w="9634" w:type="dxa"/>
        <w:tblLayout w:type="fixed"/>
        <w:tblLook w:val="04A0" w:firstRow="1" w:lastRow="0" w:firstColumn="1" w:lastColumn="0" w:noHBand="0" w:noVBand="1"/>
      </w:tblPr>
      <w:tblGrid>
        <w:gridCol w:w="1555"/>
        <w:gridCol w:w="2460"/>
        <w:gridCol w:w="2161"/>
        <w:gridCol w:w="1474"/>
        <w:gridCol w:w="1984"/>
      </w:tblGrid>
      <w:tr w:rsidR="00BB5340" w14:paraId="267311B8" w14:textId="77777777" w:rsidTr="001B6CA9">
        <w:trPr>
          <w:trHeight w:val="5"/>
        </w:trPr>
        <w:tc>
          <w:tcPr>
            <w:tcW w:w="1555" w:type="dxa"/>
          </w:tcPr>
          <w:p w14:paraId="58D044F9" w14:textId="77777777" w:rsidR="00252642" w:rsidRDefault="00252642" w:rsidP="00EE41ED">
            <w:pPr>
              <w:jc w:val="center"/>
            </w:pPr>
          </w:p>
        </w:tc>
        <w:tc>
          <w:tcPr>
            <w:tcW w:w="2460" w:type="dxa"/>
          </w:tcPr>
          <w:p w14:paraId="48F2E1BE" w14:textId="77777777" w:rsidR="00252642" w:rsidRDefault="00252642" w:rsidP="00EE41ED">
            <w:pPr>
              <w:jc w:val="center"/>
            </w:pPr>
            <w:r>
              <w:t>Budownictwo tradycyjne</w:t>
            </w:r>
          </w:p>
        </w:tc>
        <w:tc>
          <w:tcPr>
            <w:tcW w:w="2161" w:type="dxa"/>
          </w:tcPr>
          <w:p w14:paraId="28CB1555" w14:textId="77777777" w:rsidR="00252642" w:rsidRDefault="00252642" w:rsidP="00EE41ED">
            <w:pPr>
              <w:jc w:val="center"/>
            </w:pPr>
            <w:r>
              <w:t>Budownictwo prefabrykowane betonowe</w:t>
            </w:r>
          </w:p>
        </w:tc>
        <w:tc>
          <w:tcPr>
            <w:tcW w:w="1474" w:type="dxa"/>
          </w:tcPr>
          <w:p w14:paraId="11FE3985" w14:textId="77777777" w:rsidR="00252642" w:rsidRDefault="00252642" w:rsidP="00EE41ED">
            <w:pPr>
              <w:jc w:val="center"/>
            </w:pPr>
            <w:r>
              <w:t>Budownictwo prefabryko</w:t>
            </w:r>
            <w:r>
              <w:lastRenderedPageBreak/>
              <w:t>wane drewniane</w:t>
            </w:r>
          </w:p>
        </w:tc>
        <w:tc>
          <w:tcPr>
            <w:tcW w:w="1984" w:type="dxa"/>
          </w:tcPr>
          <w:p w14:paraId="60F15C69" w14:textId="77777777" w:rsidR="00252642" w:rsidRDefault="00252642" w:rsidP="00EE41ED">
            <w:pPr>
              <w:jc w:val="center"/>
            </w:pPr>
            <w:r>
              <w:lastRenderedPageBreak/>
              <w:t>Budownictwo prefabrykowane stalowe</w:t>
            </w:r>
          </w:p>
        </w:tc>
      </w:tr>
      <w:tr w:rsidR="00BB5340" w14:paraId="2D9C9A4B" w14:textId="77777777" w:rsidTr="001B6CA9">
        <w:trPr>
          <w:trHeight w:val="8"/>
        </w:trPr>
        <w:tc>
          <w:tcPr>
            <w:tcW w:w="1555" w:type="dxa"/>
          </w:tcPr>
          <w:p w14:paraId="68F8AD10" w14:textId="77777777" w:rsidR="00FF10E5" w:rsidRDefault="00FF10E5" w:rsidP="00EE41ED">
            <w:pPr>
              <w:jc w:val="both"/>
            </w:pPr>
          </w:p>
          <w:p w14:paraId="4CA5E670" w14:textId="77777777" w:rsidR="00FF10E5" w:rsidRDefault="00FF10E5" w:rsidP="00EE41ED">
            <w:pPr>
              <w:jc w:val="both"/>
            </w:pPr>
          </w:p>
          <w:p w14:paraId="1F0EB08F" w14:textId="77777777" w:rsidR="00FF10E5" w:rsidRDefault="00FF10E5" w:rsidP="00EE41ED">
            <w:pPr>
              <w:jc w:val="both"/>
            </w:pPr>
          </w:p>
          <w:p w14:paraId="75B19739" w14:textId="77777777" w:rsidR="00586A25" w:rsidRDefault="00586A25" w:rsidP="00FF10E5">
            <w:pPr>
              <w:jc w:val="center"/>
            </w:pPr>
          </w:p>
          <w:p w14:paraId="7D982F75" w14:textId="77777777" w:rsidR="008B50DB" w:rsidRDefault="008B50DB" w:rsidP="00FF10E5">
            <w:pPr>
              <w:jc w:val="center"/>
            </w:pPr>
          </w:p>
          <w:p w14:paraId="277B9710" w14:textId="348F6EBE" w:rsidR="00252642" w:rsidRDefault="00344998" w:rsidP="00FF10E5">
            <w:pPr>
              <w:jc w:val="center"/>
            </w:pPr>
            <w:r>
              <w:t>Ryzyka kosztowe</w:t>
            </w:r>
          </w:p>
        </w:tc>
        <w:tc>
          <w:tcPr>
            <w:tcW w:w="2460" w:type="dxa"/>
          </w:tcPr>
          <w:p w14:paraId="07BCAE9C" w14:textId="77777777" w:rsidR="00025729" w:rsidRDefault="00025729" w:rsidP="006B0459">
            <w:pPr>
              <w:jc w:val="center"/>
            </w:pPr>
          </w:p>
          <w:p w14:paraId="4B5F04C6" w14:textId="2FBD2EE4" w:rsidR="00252642" w:rsidRDefault="002673B0" w:rsidP="006B0459">
            <w:pPr>
              <w:jc w:val="center"/>
            </w:pPr>
            <w:r>
              <w:t>Wysokie ryzyko.</w:t>
            </w:r>
            <w:r w:rsidR="008C60E7">
              <w:t xml:space="preserve"> Niska jakość robót i </w:t>
            </w:r>
            <w:r w:rsidR="00A6765F">
              <w:t xml:space="preserve">konieczność prac dodatkowych. Wzrost cen materiałów. </w:t>
            </w:r>
            <w:r w:rsidR="00E26544">
              <w:t>Opó</w:t>
            </w:r>
            <w:r w:rsidR="005E274B">
              <w:t>ź</w:t>
            </w:r>
            <w:r w:rsidR="00E26544">
              <w:t xml:space="preserve">nienia </w:t>
            </w:r>
            <w:r w:rsidR="005E274B">
              <w:t>wykonawcze</w:t>
            </w:r>
            <w:r w:rsidR="00586A25">
              <w:t>.</w:t>
            </w:r>
          </w:p>
        </w:tc>
        <w:tc>
          <w:tcPr>
            <w:tcW w:w="2161" w:type="dxa"/>
          </w:tcPr>
          <w:p w14:paraId="34F57EB4" w14:textId="0E11C2AA" w:rsidR="00252642" w:rsidRDefault="00586A25" w:rsidP="00EC4166">
            <w:pPr>
              <w:jc w:val="center"/>
            </w:pPr>
            <w:r>
              <w:t>Średnie ryzyko.</w:t>
            </w:r>
          </w:p>
          <w:p w14:paraId="1746F01B" w14:textId="01900B65" w:rsidR="00586A25" w:rsidRDefault="006A3955" w:rsidP="00EC4166">
            <w:pPr>
              <w:jc w:val="center"/>
            </w:pPr>
            <w:r>
              <w:t>Możliwe opóźnienia na etapie prac wykończeniowych. Skomplikowane wprowadzenie rozwiązań zamiennych</w:t>
            </w:r>
            <w:r w:rsidR="00EC4166">
              <w:t>. Możliwe prace dodatkowe.</w:t>
            </w:r>
          </w:p>
        </w:tc>
        <w:tc>
          <w:tcPr>
            <w:tcW w:w="1474" w:type="dxa"/>
          </w:tcPr>
          <w:p w14:paraId="1775FCED" w14:textId="20499191" w:rsidR="00252642" w:rsidRDefault="00A630A6" w:rsidP="00A630A6">
            <w:pPr>
              <w:jc w:val="center"/>
            </w:pPr>
            <w:r>
              <w:t>Niskie ryzyko. Stały koszt materiałów i pracy. Wysoka jakość dokumentacji projektowo warsztatowej. Minimalizacja błędów wykonawczych.</w:t>
            </w:r>
          </w:p>
        </w:tc>
        <w:tc>
          <w:tcPr>
            <w:tcW w:w="1984" w:type="dxa"/>
          </w:tcPr>
          <w:p w14:paraId="2474BDA8" w14:textId="772E8080" w:rsidR="00252642" w:rsidRDefault="00A73E71" w:rsidP="003F7C74">
            <w:pPr>
              <w:jc w:val="center"/>
            </w:pPr>
            <w:r>
              <w:t xml:space="preserve">Niskie ryzyko. </w:t>
            </w:r>
            <w:r w:rsidR="0013322F">
              <w:t xml:space="preserve">Stały koszt materiałów i pracy. </w:t>
            </w:r>
            <w:r w:rsidR="00EC4166">
              <w:t>Wy</w:t>
            </w:r>
            <w:r w:rsidR="00EC290B">
              <w:t xml:space="preserve">soka jakość dokumentacji projektowo warsztatowej. </w:t>
            </w:r>
            <w:r w:rsidR="0013322F">
              <w:t>Minimalizacja błęd</w:t>
            </w:r>
            <w:r w:rsidR="003F7C74">
              <w:t>ów wykonawczych.</w:t>
            </w:r>
          </w:p>
        </w:tc>
      </w:tr>
      <w:tr w:rsidR="00BB5340" w14:paraId="0DD488BF" w14:textId="77777777" w:rsidTr="001B6CA9">
        <w:trPr>
          <w:trHeight w:val="8"/>
        </w:trPr>
        <w:tc>
          <w:tcPr>
            <w:tcW w:w="1555" w:type="dxa"/>
          </w:tcPr>
          <w:p w14:paraId="172BE316" w14:textId="77777777" w:rsidR="007C7BBF" w:rsidRDefault="007C7BBF" w:rsidP="007C7BBF">
            <w:pPr>
              <w:jc w:val="center"/>
            </w:pPr>
          </w:p>
          <w:p w14:paraId="4924799B" w14:textId="77777777" w:rsidR="007C7BBF" w:rsidRDefault="007C7BBF" w:rsidP="007C7BBF">
            <w:pPr>
              <w:jc w:val="center"/>
            </w:pPr>
          </w:p>
          <w:p w14:paraId="729C99CE" w14:textId="77777777" w:rsidR="007C7BBF" w:rsidRDefault="007C7BBF" w:rsidP="007C7BBF">
            <w:pPr>
              <w:jc w:val="center"/>
            </w:pPr>
          </w:p>
          <w:p w14:paraId="3A751E3F" w14:textId="77777777" w:rsidR="007C7BBF" w:rsidRDefault="007C7BBF" w:rsidP="007C7BBF">
            <w:pPr>
              <w:jc w:val="center"/>
            </w:pPr>
          </w:p>
          <w:p w14:paraId="0104997D" w14:textId="77777777" w:rsidR="007C7BBF" w:rsidRDefault="007C7BBF" w:rsidP="007C7BBF">
            <w:pPr>
              <w:jc w:val="center"/>
            </w:pPr>
          </w:p>
          <w:p w14:paraId="75DE4B66" w14:textId="77777777" w:rsidR="007C7BBF" w:rsidRDefault="007C7BBF" w:rsidP="007C7BBF">
            <w:pPr>
              <w:jc w:val="center"/>
            </w:pPr>
          </w:p>
          <w:p w14:paraId="6BD7F4ED" w14:textId="2880F25B" w:rsidR="007C7BBF" w:rsidRDefault="007C7BBF" w:rsidP="007C7BBF">
            <w:pPr>
              <w:jc w:val="center"/>
            </w:pPr>
            <w:r>
              <w:t>Dostępność materiałowa</w:t>
            </w:r>
          </w:p>
        </w:tc>
        <w:tc>
          <w:tcPr>
            <w:tcW w:w="2460" w:type="dxa"/>
          </w:tcPr>
          <w:p w14:paraId="4C79C7D5" w14:textId="77777777" w:rsidR="00025729" w:rsidRDefault="00025729" w:rsidP="00025729">
            <w:pPr>
              <w:jc w:val="center"/>
            </w:pPr>
          </w:p>
          <w:p w14:paraId="0B950C3A" w14:textId="77777777" w:rsidR="00025729" w:rsidRDefault="00025729" w:rsidP="00025729">
            <w:pPr>
              <w:jc w:val="center"/>
            </w:pPr>
          </w:p>
          <w:p w14:paraId="357C02B4" w14:textId="77777777" w:rsidR="00025729" w:rsidRDefault="00025729" w:rsidP="00025729">
            <w:pPr>
              <w:jc w:val="center"/>
            </w:pPr>
          </w:p>
          <w:p w14:paraId="56DC2574" w14:textId="1E2C1566" w:rsidR="007C7BBF" w:rsidRDefault="007C7BBF" w:rsidP="00025729">
            <w:pPr>
              <w:jc w:val="center"/>
            </w:pPr>
            <w:r>
              <w:t xml:space="preserve">Dostępność i gromadzenie materiałów w trakcie wykonywania prac, </w:t>
            </w:r>
            <w:r w:rsidR="00376402">
              <w:t xml:space="preserve">występowanie </w:t>
            </w:r>
            <w:r>
              <w:t>przez całą długość kontraktu.</w:t>
            </w:r>
          </w:p>
        </w:tc>
        <w:tc>
          <w:tcPr>
            <w:tcW w:w="2161" w:type="dxa"/>
          </w:tcPr>
          <w:p w14:paraId="5695A8A2" w14:textId="343268DB" w:rsidR="007C7BBF" w:rsidRDefault="007C7BBF" w:rsidP="00025729">
            <w:pPr>
              <w:jc w:val="center"/>
            </w:pPr>
            <w:r>
              <w:t xml:space="preserve">Podstawowe elementy konstrukcyjne dostępne w momencie uruchomienia kontraktu. Pozostałe materiały dostępne w trakcie wykonywania prac, </w:t>
            </w:r>
            <w:r w:rsidR="00D8112A">
              <w:t xml:space="preserve">występowanie </w:t>
            </w:r>
            <w:r>
              <w:t>przez całą długość kontraktu.</w:t>
            </w:r>
          </w:p>
        </w:tc>
        <w:tc>
          <w:tcPr>
            <w:tcW w:w="1474" w:type="dxa"/>
          </w:tcPr>
          <w:p w14:paraId="6AB9ED7C" w14:textId="77777777" w:rsidR="00025729" w:rsidRDefault="00025729" w:rsidP="00025729">
            <w:pPr>
              <w:jc w:val="center"/>
            </w:pPr>
          </w:p>
          <w:p w14:paraId="057143A8" w14:textId="77777777" w:rsidR="00025729" w:rsidRDefault="00025729" w:rsidP="00025729">
            <w:pPr>
              <w:jc w:val="center"/>
            </w:pPr>
          </w:p>
          <w:p w14:paraId="75A76901" w14:textId="77777777" w:rsidR="00025729" w:rsidRDefault="00025729" w:rsidP="00025729">
            <w:pPr>
              <w:jc w:val="center"/>
            </w:pPr>
          </w:p>
          <w:p w14:paraId="2F92AD4F" w14:textId="77777777" w:rsidR="00025729" w:rsidRDefault="00025729" w:rsidP="00025729">
            <w:pPr>
              <w:jc w:val="center"/>
            </w:pPr>
          </w:p>
          <w:p w14:paraId="502B5233" w14:textId="77777777" w:rsidR="00025729" w:rsidRDefault="00025729" w:rsidP="00025729">
            <w:pPr>
              <w:jc w:val="center"/>
            </w:pPr>
          </w:p>
          <w:p w14:paraId="4673325B" w14:textId="290F6F3D" w:rsidR="007C7BBF" w:rsidRDefault="007C7BBF" w:rsidP="00025729">
            <w:pPr>
              <w:jc w:val="center"/>
            </w:pPr>
            <w:r>
              <w:t>Materiały dostępne od dnia podpisania kontraktu.</w:t>
            </w:r>
          </w:p>
        </w:tc>
        <w:tc>
          <w:tcPr>
            <w:tcW w:w="1984" w:type="dxa"/>
          </w:tcPr>
          <w:p w14:paraId="160AC421" w14:textId="77777777" w:rsidR="00025729" w:rsidRDefault="00025729" w:rsidP="00025729">
            <w:pPr>
              <w:jc w:val="center"/>
            </w:pPr>
          </w:p>
          <w:p w14:paraId="0B55E59B" w14:textId="77777777" w:rsidR="00025729" w:rsidRDefault="00025729" w:rsidP="00025729">
            <w:pPr>
              <w:jc w:val="center"/>
            </w:pPr>
          </w:p>
          <w:p w14:paraId="7829F3B7" w14:textId="77777777" w:rsidR="00025729" w:rsidRDefault="00025729" w:rsidP="00025729">
            <w:pPr>
              <w:jc w:val="center"/>
            </w:pPr>
          </w:p>
          <w:p w14:paraId="1471F223" w14:textId="77777777" w:rsidR="00025729" w:rsidRDefault="00025729" w:rsidP="00025729">
            <w:pPr>
              <w:jc w:val="center"/>
            </w:pPr>
          </w:p>
          <w:p w14:paraId="5915ADE6" w14:textId="77777777" w:rsidR="00025729" w:rsidRDefault="00025729" w:rsidP="00025729">
            <w:pPr>
              <w:jc w:val="center"/>
            </w:pPr>
          </w:p>
          <w:p w14:paraId="4C5FAF4A" w14:textId="7262F31E" w:rsidR="007C7BBF" w:rsidRDefault="007C7BBF" w:rsidP="00025729">
            <w:pPr>
              <w:jc w:val="center"/>
            </w:pPr>
            <w:r>
              <w:t>Materiały dostępne od dnia podpisania kontraktu.</w:t>
            </w:r>
          </w:p>
        </w:tc>
      </w:tr>
      <w:tr w:rsidR="00BB5340" w14:paraId="519FA980" w14:textId="77777777" w:rsidTr="001B6CA9">
        <w:trPr>
          <w:trHeight w:val="8"/>
        </w:trPr>
        <w:tc>
          <w:tcPr>
            <w:tcW w:w="1555" w:type="dxa"/>
          </w:tcPr>
          <w:p w14:paraId="00BADDA0" w14:textId="77777777" w:rsidR="008940FA" w:rsidRDefault="008940FA" w:rsidP="008940FA">
            <w:pPr>
              <w:jc w:val="center"/>
            </w:pPr>
          </w:p>
          <w:p w14:paraId="512B2477" w14:textId="77777777" w:rsidR="008940FA" w:rsidRDefault="008940FA" w:rsidP="008940FA">
            <w:pPr>
              <w:jc w:val="center"/>
            </w:pPr>
          </w:p>
          <w:p w14:paraId="76EE054A" w14:textId="77777777" w:rsidR="008940FA" w:rsidRDefault="008940FA" w:rsidP="008940FA">
            <w:pPr>
              <w:jc w:val="center"/>
            </w:pPr>
          </w:p>
          <w:p w14:paraId="593E0339" w14:textId="77777777" w:rsidR="008940FA" w:rsidRDefault="008940FA" w:rsidP="008940FA">
            <w:pPr>
              <w:jc w:val="center"/>
            </w:pPr>
          </w:p>
          <w:p w14:paraId="7DDA87A3" w14:textId="244DD701" w:rsidR="007C7BBF" w:rsidRDefault="007C7BBF" w:rsidP="008940FA">
            <w:pPr>
              <w:jc w:val="center"/>
            </w:pPr>
            <w:r w:rsidRPr="00C0263D">
              <w:t>Ryzyka terminowe</w:t>
            </w:r>
          </w:p>
        </w:tc>
        <w:tc>
          <w:tcPr>
            <w:tcW w:w="2460" w:type="dxa"/>
          </w:tcPr>
          <w:p w14:paraId="43926F20" w14:textId="040A0306" w:rsidR="007C7BBF" w:rsidRDefault="007C7BBF" w:rsidP="00C0263D">
            <w:pPr>
              <w:jc w:val="center"/>
            </w:pPr>
            <w:r>
              <w:t>Wysoki wpływ warunków pogodowych. Wysoki wpływ dostępności materiałowej. Długotrwały proces wprowadzenia zmian.</w:t>
            </w:r>
          </w:p>
        </w:tc>
        <w:tc>
          <w:tcPr>
            <w:tcW w:w="2161" w:type="dxa"/>
          </w:tcPr>
          <w:p w14:paraId="63BE02A7" w14:textId="4E79F010" w:rsidR="007C7BBF" w:rsidRDefault="00745B20" w:rsidP="00C0263D">
            <w:pPr>
              <w:jc w:val="center"/>
            </w:pPr>
            <w:r>
              <w:t xml:space="preserve">Przyspieszony czas realizacji w stosunku do budownictwa tradycyjnego. </w:t>
            </w:r>
            <w:r w:rsidR="00C0263D">
              <w:t>Możliwe opóźnienia związane z pracami wykończeniowymi na budowie.</w:t>
            </w:r>
          </w:p>
        </w:tc>
        <w:tc>
          <w:tcPr>
            <w:tcW w:w="1474" w:type="dxa"/>
          </w:tcPr>
          <w:p w14:paraId="0B78AD51" w14:textId="517D4B40" w:rsidR="007C7BBF" w:rsidRDefault="00344137" w:rsidP="00C0263D">
            <w:pPr>
              <w:jc w:val="center"/>
            </w:pPr>
            <w:r>
              <w:t>Maksymalne skrócenie czasu realizacji. Równoległe opracowanie dokumentacji oraz planów i realizacji produkcyjnej.</w:t>
            </w:r>
          </w:p>
        </w:tc>
        <w:tc>
          <w:tcPr>
            <w:tcW w:w="1984" w:type="dxa"/>
          </w:tcPr>
          <w:p w14:paraId="2F9DBE70" w14:textId="0BCDCA5D" w:rsidR="007C7BBF" w:rsidRDefault="00344137" w:rsidP="00C0263D">
            <w:pPr>
              <w:jc w:val="center"/>
            </w:pPr>
            <w:r>
              <w:t>Maksymalne</w:t>
            </w:r>
            <w:r w:rsidR="00EE79E1">
              <w:t xml:space="preserve"> skrócenie czasu realizacji</w:t>
            </w:r>
            <w:r w:rsidR="00F00E97">
              <w:t>. Równoległe opracowanie dokumentacji oraz planów i realizacji produkcyjnej</w:t>
            </w:r>
            <w:r w:rsidR="00986E81">
              <w:t>.</w:t>
            </w:r>
          </w:p>
        </w:tc>
      </w:tr>
      <w:tr w:rsidR="00BB5340" w14:paraId="1985B4A1" w14:textId="77777777" w:rsidTr="001B6CA9">
        <w:trPr>
          <w:trHeight w:val="5573"/>
        </w:trPr>
        <w:tc>
          <w:tcPr>
            <w:tcW w:w="1555" w:type="dxa"/>
          </w:tcPr>
          <w:p w14:paraId="5732898D" w14:textId="77777777" w:rsidR="00756F01" w:rsidRDefault="00756F01" w:rsidP="00756F01">
            <w:pPr>
              <w:jc w:val="both"/>
            </w:pPr>
          </w:p>
          <w:p w14:paraId="002CE73A" w14:textId="77777777" w:rsidR="00BB5340" w:rsidRDefault="00BB5340" w:rsidP="00756F01">
            <w:pPr>
              <w:jc w:val="center"/>
              <w:rPr>
                <w:highlight w:val="yellow"/>
              </w:rPr>
            </w:pPr>
          </w:p>
          <w:p w14:paraId="400A50DD" w14:textId="77777777" w:rsidR="00BB5340" w:rsidRDefault="00BB5340" w:rsidP="00756F01">
            <w:pPr>
              <w:jc w:val="center"/>
              <w:rPr>
                <w:highlight w:val="yellow"/>
              </w:rPr>
            </w:pPr>
          </w:p>
          <w:p w14:paraId="61591555" w14:textId="77777777" w:rsidR="00BB5340" w:rsidRDefault="00BB5340" w:rsidP="00756F01">
            <w:pPr>
              <w:jc w:val="center"/>
              <w:rPr>
                <w:highlight w:val="yellow"/>
              </w:rPr>
            </w:pPr>
          </w:p>
          <w:p w14:paraId="1FF08B16" w14:textId="77777777" w:rsidR="00BB5340" w:rsidRDefault="00BB5340" w:rsidP="00756F01">
            <w:pPr>
              <w:jc w:val="center"/>
              <w:rPr>
                <w:highlight w:val="yellow"/>
              </w:rPr>
            </w:pPr>
          </w:p>
          <w:p w14:paraId="2F5B923B" w14:textId="77777777" w:rsidR="00BB5340" w:rsidRDefault="00BB5340" w:rsidP="00756F01">
            <w:pPr>
              <w:jc w:val="center"/>
              <w:rPr>
                <w:highlight w:val="yellow"/>
              </w:rPr>
            </w:pPr>
          </w:p>
          <w:p w14:paraId="62ABF590" w14:textId="77777777" w:rsidR="00BB5340" w:rsidRDefault="00BB5340" w:rsidP="00756F01">
            <w:pPr>
              <w:jc w:val="center"/>
              <w:rPr>
                <w:highlight w:val="yellow"/>
              </w:rPr>
            </w:pPr>
          </w:p>
          <w:p w14:paraId="25DB6012" w14:textId="6705C037" w:rsidR="00756F01" w:rsidRDefault="00756F01" w:rsidP="00756F01">
            <w:pPr>
              <w:jc w:val="center"/>
            </w:pPr>
            <w:r w:rsidRPr="00BB5340">
              <w:t>Ryzyka techniczne</w:t>
            </w:r>
          </w:p>
        </w:tc>
        <w:tc>
          <w:tcPr>
            <w:tcW w:w="2460" w:type="dxa"/>
          </w:tcPr>
          <w:p w14:paraId="6C0166AE" w14:textId="2AAA76C5" w:rsidR="00756F01" w:rsidRDefault="00756F01" w:rsidP="001B6CA9">
            <w:pPr>
              <w:jc w:val="center"/>
            </w:pPr>
            <w:r>
              <w:t>Niska jakość materiałowa oraz niedostateczny nadzór nad poprawnością wykonywanych prac. Zależności od warunków atmosferycznych. Skomplikowane posadowienie obiektu</w:t>
            </w:r>
          </w:p>
        </w:tc>
        <w:tc>
          <w:tcPr>
            <w:tcW w:w="2161" w:type="dxa"/>
          </w:tcPr>
          <w:p w14:paraId="0CCD20BE" w14:textId="4E46C4CA" w:rsidR="00756F01" w:rsidRDefault="00756F01" w:rsidP="001B6CA9">
            <w:pPr>
              <w:jc w:val="center"/>
            </w:pPr>
            <w:r>
              <w:t xml:space="preserve">Niska jakość materiałowa </w:t>
            </w:r>
            <w:r w:rsidR="00B87C55">
              <w:t xml:space="preserve">na etapie wykończenia </w:t>
            </w:r>
            <w:r>
              <w:t xml:space="preserve">oraz niedostateczny nadzór nad poprawnością wykonywanych prac. </w:t>
            </w:r>
            <w:r w:rsidR="00B87C55">
              <w:t>Możliwe s</w:t>
            </w:r>
            <w:r>
              <w:t>komplikowane posadowienie obiektu</w:t>
            </w:r>
          </w:p>
        </w:tc>
        <w:tc>
          <w:tcPr>
            <w:tcW w:w="1474" w:type="dxa"/>
          </w:tcPr>
          <w:p w14:paraId="346DD27F" w14:textId="37DFB843" w:rsidR="00756F01" w:rsidRDefault="00756F01" w:rsidP="001B6CA9">
            <w:pPr>
              <w:jc w:val="center"/>
            </w:pPr>
            <w:r>
              <w:t xml:space="preserve">Związane z kwestiami zabezpieczeń przeciw </w:t>
            </w:r>
            <w:r w:rsidR="001B6CA9">
              <w:t>pożarowych</w:t>
            </w:r>
            <w:r>
              <w:t>, odstępstw lub rozwiązań zamiennych w tym odbiorowych</w:t>
            </w:r>
          </w:p>
        </w:tc>
        <w:tc>
          <w:tcPr>
            <w:tcW w:w="1984" w:type="dxa"/>
          </w:tcPr>
          <w:p w14:paraId="743111D3" w14:textId="53883E9C" w:rsidR="00756F01" w:rsidRDefault="00756F01" w:rsidP="001B6CA9">
            <w:pPr>
              <w:jc w:val="center"/>
            </w:pPr>
            <w:r>
              <w:t>W przypadku zmiany założeń do projektowania lub specjalistycznych wytycznych wymagających indywidualnego podejścia do projektowania. np. budowle ochronne</w:t>
            </w:r>
          </w:p>
        </w:tc>
      </w:tr>
      <w:tr w:rsidR="00BB5340" w14:paraId="42257FA9" w14:textId="77777777" w:rsidTr="001B6CA9">
        <w:trPr>
          <w:trHeight w:val="8"/>
        </w:trPr>
        <w:tc>
          <w:tcPr>
            <w:tcW w:w="1555" w:type="dxa"/>
          </w:tcPr>
          <w:p w14:paraId="654B99B8" w14:textId="77777777" w:rsidR="00756F01" w:rsidRDefault="00756F01" w:rsidP="00756F01">
            <w:pPr>
              <w:jc w:val="center"/>
            </w:pPr>
          </w:p>
          <w:p w14:paraId="7C16BB3D" w14:textId="77777777" w:rsidR="00756F01" w:rsidRDefault="00756F01" w:rsidP="00756F01">
            <w:pPr>
              <w:jc w:val="center"/>
            </w:pPr>
          </w:p>
          <w:p w14:paraId="742102A7" w14:textId="77777777" w:rsidR="00756F01" w:rsidRDefault="00756F01" w:rsidP="00756F01">
            <w:pPr>
              <w:jc w:val="center"/>
            </w:pPr>
          </w:p>
          <w:p w14:paraId="2686655A" w14:textId="77777777" w:rsidR="00756F01" w:rsidRDefault="00756F01" w:rsidP="00756F01">
            <w:pPr>
              <w:jc w:val="center"/>
            </w:pPr>
          </w:p>
          <w:p w14:paraId="2ADE3A5F" w14:textId="77777777" w:rsidR="00756F01" w:rsidRDefault="00756F01" w:rsidP="00756F01">
            <w:pPr>
              <w:jc w:val="center"/>
            </w:pPr>
          </w:p>
          <w:p w14:paraId="2D8EB937" w14:textId="0CEAE84B" w:rsidR="00756F01" w:rsidRDefault="00756F01" w:rsidP="00756F01">
            <w:pPr>
              <w:jc w:val="center"/>
            </w:pPr>
            <w:r>
              <w:t>Czynnik inflacji</w:t>
            </w:r>
          </w:p>
        </w:tc>
        <w:tc>
          <w:tcPr>
            <w:tcW w:w="2460" w:type="dxa"/>
          </w:tcPr>
          <w:p w14:paraId="0EF8644F" w14:textId="77777777" w:rsidR="00756F01" w:rsidRDefault="00756F01" w:rsidP="00756F01">
            <w:pPr>
              <w:jc w:val="center"/>
            </w:pPr>
          </w:p>
          <w:p w14:paraId="5540426F" w14:textId="77777777" w:rsidR="00756F01" w:rsidRDefault="00756F01" w:rsidP="00756F01">
            <w:pPr>
              <w:jc w:val="center"/>
            </w:pPr>
          </w:p>
          <w:p w14:paraId="7519A703" w14:textId="77777777" w:rsidR="00756F01" w:rsidRDefault="00756F01" w:rsidP="00756F01">
            <w:pPr>
              <w:jc w:val="center"/>
            </w:pPr>
          </w:p>
          <w:p w14:paraId="576444CD" w14:textId="1D4181B4" w:rsidR="00756F01" w:rsidRDefault="00756F01" w:rsidP="00756F01">
            <w:pPr>
              <w:jc w:val="center"/>
            </w:pPr>
            <w:r>
              <w:t>Wysokie ryzyko waloryzacyjne ze względu na czas trwania kontraktu.</w:t>
            </w:r>
          </w:p>
        </w:tc>
        <w:tc>
          <w:tcPr>
            <w:tcW w:w="2161" w:type="dxa"/>
          </w:tcPr>
          <w:p w14:paraId="4067676B" w14:textId="77777777" w:rsidR="00756F01" w:rsidRDefault="00756F01" w:rsidP="00756F01">
            <w:pPr>
              <w:jc w:val="center"/>
            </w:pPr>
          </w:p>
          <w:p w14:paraId="00B7A1EC" w14:textId="77777777" w:rsidR="00756F01" w:rsidRDefault="00756F01" w:rsidP="00756F01">
            <w:pPr>
              <w:jc w:val="center"/>
            </w:pPr>
          </w:p>
          <w:p w14:paraId="5D01F779" w14:textId="77777777" w:rsidR="00756F01" w:rsidRDefault="00756F01" w:rsidP="00756F01">
            <w:pPr>
              <w:jc w:val="center"/>
            </w:pPr>
          </w:p>
          <w:p w14:paraId="3CB053CD" w14:textId="1FCB8033" w:rsidR="00756F01" w:rsidRDefault="00756F01" w:rsidP="00756F01">
            <w:pPr>
              <w:jc w:val="center"/>
            </w:pPr>
            <w:r>
              <w:t>Średnie ryzyko waloryzacji ze względu na etap wykończenia obiektu.</w:t>
            </w:r>
          </w:p>
        </w:tc>
        <w:tc>
          <w:tcPr>
            <w:tcW w:w="1474" w:type="dxa"/>
          </w:tcPr>
          <w:p w14:paraId="538BA574" w14:textId="3DD812FE" w:rsidR="00756F01" w:rsidRDefault="00756F01" w:rsidP="00756F01">
            <w:pPr>
              <w:jc w:val="center"/>
            </w:pPr>
            <w:r>
              <w:t>Niskie ryzyko waloryzacyjne ze względu na ryczałtowy charakter procesu inwestycyjnego i szybkość wytwarzania obiektu</w:t>
            </w:r>
          </w:p>
        </w:tc>
        <w:tc>
          <w:tcPr>
            <w:tcW w:w="1984" w:type="dxa"/>
          </w:tcPr>
          <w:p w14:paraId="2F574602" w14:textId="4611908A" w:rsidR="00756F01" w:rsidRDefault="00756F01" w:rsidP="00756F01">
            <w:pPr>
              <w:jc w:val="center"/>
            </w:pPr>
            <w:r>
              <w:t>Niskie ryzyko waloryzacyjne ze względu na ryczałtowy charakter procesu inwestycyjnego i szybkość wytwarzania obiektu</w:t>
            </w:r>
          </w:p>
        </w:tc>
      </w:tr>
      <w:tr w:rsidR="00BB5340" w14:paraId="07865722" w14:textId="77777777" w:rsidTr="001B6CA9">
        <w:trPr>
          <w:trHeight w:val="8"/>
        </w:trPr>
        <w:tc>
          <w:tcPr>
            <w:tcW w:w="1555" w:type="dxa"/>
          </w:tcPr>
          <w:p w14:paraId="53BDD8D9" w14:textId="77777777" w:rsidR="00756F01" w:rsidRDefault="00756F01" w:rsidP="00756F01">
            <w:pPr>
              <w:jc w:val="center"/>
            </w:pPr>
          </w:p>
          <w:p w14:paraId="5C6D9E47" w14:textId="77777777" w:rsidR="00756F01" w:rsidRDefault="00756F01" w:rsidP="00756F01">
            <w:pPr>
              <w:jc w:val="center"/>
            </w:pPr>
          </w:p>
          <w:p w14:paraId="549BA55D" w14:textId="77777777" w:rsidR="00756F01" w:rsidRDefault="00756F01" w:rsidP="00756F01">
            <w:pPr>
              <w:jc w:val="center"/>
            </w:pPr>
          </w:p>
          <w:p w14:paraId="0CBE4419" w14:textId="745DFC0E" w:rsidR="00756F01" w:rsidRDefault="00756F01" w:rsidP="00756F01">
            <w:pPr>
              <w:jc w:val="center"/>
            </w:pPr>
            <w:r>
              <w:t>Ryzyka środowiskowe</w:t>
            </w:r>
          </w:p>
        </w:tc>
        <w:tc>
          <w:tcPr>
            <w:tcW w:w="2460" w:type="dxa"/>
          </w:tcPr>
          <w:p w14:paraId="7A472DD3" w14:textId="62E6F8D6" w:rsidR="00756F01" w:rsidRDefault="00756F01" w:rsidP="00756F01">
            <w:pPr>
              <w:jc w:val="center"/>
            </w:pPr>
            <w:r>
              <w:t>Konieczność stosowania restrykcyjnych zasad zarządzania i kontrolą budowy w tym zabezpieczenie placu budowy.</w:t>
            </w:r>
          </w:p>
        </w:tc>
        <w:tc>
          <w:tcPr>
            <w:tcW w:w="2161" w:type="dxa"/>
          </w:tcPr>
          <w:p w14:paraId="17B5E114" w14:textId="0ABBAC56" w:rsidR="00756F01" w:rsidRDefault="00756F01" w:rsidP="00756F01">
            <w:pPr>
              <w:jc w:val="center"/>
            </w:pPr>
            <w:r>
              <w:t>Podstawowe prace wykonane w kontrolowanych warunkach zakładu produkcyjnego, pozostałe prace na terenie budowy wymagającym zabezpieczeń.</w:t>
            </w:r>
          </w:p>
        </w:tc>
        <w:tc>
          <w:tcPr>
            <w:tcW w:w="1474" w:type="dxa"/>
          </w:tcPr>
          <w:p w14:paraId="3788859F" w14:textId="2667F2A1" w:rsidR="00756F01" w:rsidRDefault="00756F01" w:rsidP="00756F01">
            <w:pPr>
              <w:jc w:val="center"/>
            </w:pPr>
            <w:r>
              <w:t>Większość prac wykonana w kontrolowanych warunkach zakładu. Szczątkowy plac budowlany i związane z nim restrykcje.</w:t>
            </w:r>
          </w:p>
        </w:tc>
        <w:tc>
          <w:tcPr>
            <w:tcW w:w="1984" w:type="dxa"/>
          </w:tcPr>
          <w:p w14:paraId="0B7AF7F0" w14:textId="59C6CD72" w:rsidR="00756F01" w:rsidRDefault="00756F01" w:rsidP="00756F01">
            <w:pPr>
              <w:jc w:val="center"/>
            </w:pPr>
            <w:r>
              <w:t>Większość prac wykonana w kontrolowanych warunkach zakładu. Szczątkowy plac budowlany i związane z nim restrykcje.</w:t>
            </w:r>
          </w:p>
        </w:tc>
      </w:tr>
      <w:tr w:rsidR="00BB5340" w14:paraId="455E67C2" w14:textId="77777777" w:rsidTr="001B6CA9">
        <w:trPr>
          <w:trHeight w:val="8"/>
        </w:trPr>
        <w:tc>
          <w:tcPr>
            <w:tcW w:w="1555" w:type="dxa"/>
          </w:tcPr>
          <w:p w14:paraId="4F705795" w14:textId="77777777" w:rsidR="00756F01" w:rsidRDefault="00756F01" w:rsidP="00756F01">
            <w:pPr>
              <w:jc w:val="both"/>
            </w:pPr>
          </w:p>
          <w:p w14:paraId="339F546E" w14:textId="651E1DF6" w:rsidR="00756F01" w:rsidRDefault="00756F01" w:rsidP="00756F01">
            <w:pPr>
              <w:jc w:val="center"/>
            </w:pPr>
            <w:r>
              <w:t>Dostępność wykfalifikow</w:t>
            </w:r>
            <w:r>
              <w:lastRenderedPageBreak/>
              <w:t>anej kadry (podwykonawcy)</w:t>
            </w:r>
          </w:p>
        </w:tc>
        <w:tc>
          <w:tcPr>
            <w:tcW w:w="2460" w:type="dxa"/>
          </w:tcPr>
          <w:p w14:paraId="0276D83B" w14:textId="284EB4D6" w:rsidR="00756F01" w:rsidRDefault="00756F01" w:rsidP="00756F01">
            <w:pPr>
              <w:jc w:val="center"/>
            </w:pPr>
            <w:r>
              <w:lastRenderedPageBreak/>
              <w:t xml:space="preserve">Możliwe okresowe braki w dostępności, niewypłacalności </w:t>
            </w:r>
            <w:r>
              <w:lastRenderedPageBreak/>
              <w:t>podwykonawców, niska jakość robót</w:t>
            </w:r>
          </w:p>
        </w:tc>
        <w:tc>
          <w:tcPr>
            <w:tcW w:w="2161" w:type="dxa"/>
          </w:tcPr>
          <w:p w14:paraId="245201DD" w14:textId="383341D1" w:rsidR="00756F01" w:rsidRDefault="00756F01" w:rsidP="00756F01">
            <w:pPr>
              <w:jc w:val="center"/>
            </w:pPr>
            <w:r>
              <w:lastRenderedPageBreak/>
              <w:t xml:space="preserve">Wyspecjalizowani pracownicy kontraktowi. Na </w:t>
            </w:r>
            <w:r>
              <w:lastRenderedPageBreak/>
              <w:t>etapie wykończeniowym możliwa niska jakość robót</w:t>
            </w:r>
          </w:p>
        </w:tc>
        <w:tc>
          <w:tcPr>
            <w:tcW w:w="1474" w:type="dxa"/>
          </w:tcPr>
          <w:p w14:paraId="791E3820" w14:textId="4D83D670" w:rsidR="00756F01" w:rsidRDefault="00756F01" w:rsidP="00756F01">
            <w:pPr>
              <w:jc w:val="center"/>
            </w:pPr>
            <w:r>
              <w:lastRenderedPageBreak/>
              <w:t xml:space="preserve">Wyspecjalizowani pracownicy </w:t>
            </w:r>
            <w:r>
              <w:lastRenderedPageBreak/>
              <w:t>kontraktowi dostępni przez cały proces inwestycyjny</w:t>
            </w:r>
          </w:p>
        </w:tc>
        <w:tc>
          <w:tcPr>
            <w:tcW w:w="1984" w:type="dxa"/>
          </w:tcPr>
          <w:p w14:paraId="175C275A" w14:textId="64114055" w:rsidR="00756F01" w:rsidRDefault="00756F01" w:rsidP="00756F01">
            <w:pPr>
              <w:jc w:val="center"/>
            </w:pPr>
            <w:r>
              <w:lastRenderedPageBreak/>
              <w:t xml:space="preserve">Wyspecjalizowani pracownicy kontraktowi </w:t>
            </w:r>
            <w:r>
              <w:lastRenderedPageBreak/>
              <w:t>dostępni przez cały proces inwestycyjny</w:t>
            </w:r>
          </w:p>
        </w:tc>
      </w:tr>
    </w:tbl>
    <w:p w14:paraId="1536F750" w14:textId="77777777" w:rsidR="00585692" w:rsidRDefault="00585692" w:rsidP="00D84C9E">
      <w:pPr>
        <w:jc w:val="both"/>
      </w:pPr>
    </w:p>
    <w:p w14:paraId="020A5803" w14:textId="3210B1D7" w:rsidR="00262C03" w:rsidRDefault="002402F3" w:rsidP="00262C03">
      <w:pPr>
        <w:jc w:val="both"/>
        <w:rPr>
          <w:b/>
          <w:bCs/>
          <w:u w:val="single"/>
        </w:rPr>
      </w:pPr>
      <w:r w:rsidRPr="00FE45B8">
        <w:rPr>
          <w:b/>
          <w:bCs/>
          <w:u w:val="single"/>
        </w:rPr>
        <w:t>Równoważność materiałowa oraz zasada proporcjonalności</w:t>
      </w:r>
      <w:r w:rsidR="00FE45B8">
        <w:rPr>
          <w:b/>
          <w:bCs/>
          <w:u w:val="single"/>
        </w:rPr>
        <w:t>:</w:t>
      </w:r>
    </w:p>
    <w:p w14:paraId="4AACC258" w14:textId="77777777" w:rsidR="00531E55" w:rsidRDefault="00F627DC" w:rsidP="00D84C9E">
      <w:pPr>
        <w:jc w:val="both"/>
        <w:rPr>
          <w:i/>
          <w:iCs/>
        </w:rPr>
      </w:pPr>
      <w:r w:rsidRPr="00F627DC">
        <w:rPr>
          <w:i/>
          <w:iCs/>
        </w:rPr>
        <w:t xml:space="preserve">Zamawiający wskazuje, iż przez materiał równoważny rozumie materiał posiadający identyczne lub zbliżone parametry techniczne. Dopuszcza się stosowanie zapisu „lub równoważny” w odniesieniu do materiału lub urządzenia, które wykazują zbliżone cechy. Materiały równoważne winny być ujęte w tej samej grupie norm lub kodów technicznych. Nie dopuszcza się zamiany materiałów pomiędzy zasadniczo różnymi grupami (np. materiałów drewnianych na materiały metalowe lub cementowe), jeżeli wynika to z odmiennego sposobu wytwarzania, obliczeń konstrukcyjnych lub technologii wnoszenia obiektów. </w:t>
      </w:r>
    </w:p>
    <w:p w14:paraId="3BD84DBE" w14:textId="5C51BA3B" w:rsidR="00531E55" w:rsidRDefault="00F627DC" w:rsidP="00D84C9E">
      <w:pPr>
        <w:jc w:val="both"/>
        <w:rPr>
          <w:i/>
          <w:iCs/>
        </w:rPr>
      </w:pPr>
      <w:r w:rsidRPr="00F627DC">
        <w:rPr>
          <w:i/>
          <w:iCs/>
        </w:rPr>
        <w:t xml:space="preserve">Przyjętą technologię należy traktować jako jeden system, w którym nie dopuszcza się wymiany składowych elementów tworzących system, jeżeli zmiana ta wpływa na sposób działania systemu.  </w:t>
      </w:r>
    </w:p>
    <w:p w14:paraId="27F02002" w14:textId="0DF2B703" w:rsidR="002C17E7" w:rsidRDefault="00F627DC" w:rsidP="00D84C9E">
      <w:pPr>
        <w:jc w:val="both"/>
        <w:rPr>
          <w:i/>
          <w:iCs/>
        </w:rPr>
      </w:pPr>
      <w:r w:rsidRPr="00F627DC">
        <w:rPr>
          <w:i/>
          <w:iCs/>
        </w:rPr>
        <w:t>Wybrany sposób kształtowania obiektu i jego opis nie wykluczają możliwości określenia kryteriów oceny równoważności. Wskazane ogólne cechy przyjętej technologii wykonania obiektu odpowiadają potrzebom Zamawiającego i mają uzasadnienie techniczno</w:t>
      </w:r>
      <w:r w:rsidRPr="00F627DC">
        <w:rPr>
          <w:i/>
          <w:iCs/>
        </w:rPr>
        <w:noBreakHyphen/>
        <w:t>ekonomiczne w świetle przyjętej wartości zamówienia.</w:t>
      </w:r>
    </w:p>
    <w:p w14:paraId="3B5AD6D9" w14:textId="77777777" w:rsidR="00531E55" w:rsidRPr="00F627DC" w:rsidRDefault="00531E55" w:rsidP="00D84C9E">
      <w:pPr>
        <w:jc w:val="both"/>
        <w:rPr>
          <w:i/>
          <w:iCs/>
        </w:rPr>
      </w:pPr>
    </w:p>
    <w:p w14:paraId="121BD6C6" w14:textId="6A310EC6" w:rsidR="007203C0" w:rsidRPr="00531E55" w:rsidRDefault="0083368A" w:rsidP="00D84C9E">
      <w:pPr>
        <w:jc w:val="both"/>
        <w:rPr>
          <w:b/>
          <w:bCs/>
          <w:u w:val="single"/>
        </w:rPr>
      </w:pPr>
      <w:r w:rsidRPr="00A4070B">
        <w:rPr>
          <w:b/>
          <w:bCs/>
          <w:u w:val="single"/>
        </w:rPr>
        <w:t>Podsumowanie:</w:t>
      </w:r>
    </w:p>
    <w:p w14:paraId="36A2FE34" w14:textId="0F276C82" w:rsidR="00541624" w:rsidRDefault="00DC19A9" w:rsidP="00D84C9E">
      <w:pPr>
        <w:jc w:val="both"/>
      </w:pPr>
      <w:r>
        <w:t>W związku z powyższym Zamawiający dokonał wyboru</w:t>
      </w:r>
      <w:r w:rsidR="007A182D">
        <w:t>.</w:t>
      </w:r>
      <w:r w:rsidR="00416E60">
        <w:t xml:space="preserve"> Wybór ten jest racjonalny, proporcjonalny</w:t>
      </w:r>
      <w:r w:rsidR="006E6F81">
        <w:t xml:space="preserve"> i w pełni uzasadniony obiektywnie.</w:t>
      </w:r>
    </w:p>
    <w:p w14:paraId="3D7591F6" w14:textId="16C0B331" w:rsidR="00887B31" w:rsidRPr="00CE196B" w:rsidRDefault="00887B31" w:rsidP="00D84C9E">
      <w:pPr>
        <w:jc w:val="both"/>
        <w:rPr>
          <w:b/>
          <w:bCs/>
          <w:u w:val="single"/>
        </w:rPr>
      </w:pPr>
      <w:r w:rsidRPr="00CE196B">
        <w:rPr>
          <w:b/>
          <w:bCs/>
          <w:u w:val="single"/>
        </w:rPr>
        <w:t>Podsumowanie 2:</w:t>
      </w:r>
    </w:p>
    <w:p w14:paraId="32588E75" w14:textId="77777777" w:rsidR="00CE196B" w:rsidRDefault="00CE196B" w:rsidP="00D84C9E">
      <w:pPr>
        <w:jc w:val="both"/>
      </w:pPr>
      <w:r w:rsidRPr="00CE196B">
        <w:t xml:space="preserve">W związku z powyższym Zamawiający dokonał wyboru technologii wykonania obiektu jako prefabrykowanej modułowej o konstrukcji stalowej. </w:t>
      </w:r>
    </w:p>
    <w:p w14:paraId="7C53E424" w14:textId="77777777" w:rsidR="00783616" w:rsidRDefault="00CE196B" w:rsidP="00D84C9E">
      <w:pPr>
        <w:jc w:val="both"/>
      </w:pPr>
      <w:r w:rsidRPr="00CE196B">
        <w:t xml:space="preserve">Wybór technologii został dokonany na podstawie analizy wariantów realizacji i jest uzasadniony względami technicznymi i ekonomicznymi, w tym kryteriami: skrócenia czasu realizacji, zapewnienia powtarzalnej jakości elementów prefabrykowanych, wymagań nośności i bezpieczeństwa oraz optymalizacji kosztów eksploatacji. </w:t>
      </w:r>
    </w:p>
    <w:p w14:paraId="1B100CF9" w14:textId="5975E750" w:rsidR="00887B31" w:rsidRDefault="00CE196B" w:rsidP="00D84C9E">
      <w:pPr>
        <w:jc w:val="both"/>
      </w:pPr>
      <w:r w:rsidRPr="00CE196B">
        <w:t xml:space="preserve">Zamawiający dopuszcza rozwiązania równoważne pod warunkiem wykazania równoważności zgodnie z kryteriami </w:t>
      </w:r>
      <w:r w:rsidR="00FA12C0">
        <w:t>powyżej.</w:t>
      </w:r>
    </w:p>
    <w:sectPr w:rsidR="00887B31" w:rsidSect="00A676F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64EC3" w14:textId="77777777" w:rsidR="00FE4AD5" w:rsidRDefault="00FE4AD5" w:rsidP="00F81E29">
      <w:pPr>
        <w:spacing w:after="0" w:line="240" w:lineRule="auto"/>
      </w:pPr>
      <w:r>
        <w:separator/>
      </w:r>
    </w:p>
  </w:endnote>
  <w:endnote w:type="continuationSeparator" w:id="0">
    <w:p w14:paraId="42BBC28E" w14:textId="77777777" w:rsidR="00FE4AD5" w:rsidRDefault="00FE4AD5" w:rsidP="00F81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29598" w14:textId="77777777" w:rsidR="00FE4AD5" w:rsidRDefault="00FE4AD5" w:rsidP="00F81E29">
      <w:pPr>
        <w:spacing w:after="0" w:line="240" w:lineRule="auto"/>
      </w:pPr>
      <w:r>
        <w:separator/>
      </w:r>
    </w:p>
  </w:footnote>
  <w:footnote w:type="continuationSeparator" w:id="0">
    <w:p w14:paraId="45F43C35" w14:textId="77777777" w:rsidR="00FE4AD5" w:rsidRDefault="00FE4AD5" w:rsidP="00F81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D004A"/>
    <w:multiLevelType w:val="hybridMultilevel"/>
    <w:tmpl w:val="7E527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EF4AA0"/>
    <w:multiLevelType w:val="hybridMultilevel"/>
    <w:tmpl w:val="200A7B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104306"/>
    <w:multiLevelType w:val="hybridMultilevel"/>
    <w:tmpl w:val="7E5270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6407605"/>
    <w:multiLevelType w:val="hybridMultilevel"/>
    <w:tmpl w:val="DCE28A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C9E"/>
    <w:rsid w:val="000010DD"/>
    <w:rsid w:val="00001112"/>
    <w:rsid w:val="00001C9D"/>
    <w:rsid w:val="00002F34"/>
    <w:rsid w:val="00015584"/>
    <w:rsid w:val="00016A06"/>
    <w:rsid w:val="00021670"/>
    <w:rsid w:val="00022322"/>
    <w:rsid w:val="000246A4"/>
    <w:rsid w:val="00024C0A"/>
    <w:rsid w:val="00025729"/>
    <w:rsid w:val="000262A6"/>
    <w:rsid w:val="00026A30"/>
    <w:rsid w:val="00026D97"/>
    <w:rsid w:val="00030DDE"/>
    <w:rsid w:val="000329DE"/>
    <w:rsid w:val="00036BF0"/>
    <w:rsid w:val="000374D0"/>
    <w:rsid w:val="000376A1"/>
    <w:rsid w:val="00037B91"/>
    <w:rsid w:val="000418C8"/>
    <w:rsid w:val="00043778"/>
    <w:rsid w:val="0005169C"/>
    <w:rsid w:val="00051925"/>
    <w:rsid w:val="000663E5"/>
    <w:rsid w:val="00071C80"/>
    <w:rsid w:val="00075F06"/>
    <w:rsid w:val="00080787"/>
    <w:rsid w:val="000813EF"/>
    <w:rsid w:val="000814AC"/>
    <w:rsid w:val="00085394"/>
    <w:rsid w:val="000859C6"/>
    <w:rsid w:val="00093CD1"/>
    <w:rsid w:val="000A26FD"/>
    <w:rsid w:val="000A47A4"/>
    <w:rsid w:val="000A4F7D"/>
    <w:rsid w:val="000A563E"/>
    <w:rsid w:val="000A7362"/>
    <w:rsid w:val="000B1F32"/>
    <w:rsid w:val="000B3D4F"/>
    <w:rsid w:val="000C0996"/>
    <w:rsid w:val="000D3703"/>
    <w:rsid w:val="000D5A0A"/>
    <w:rsid w:val="000E0337"/>
    <w:rsid w:val="000E1320"/>
    <w:rsid w:val="000E54C6"/>
    <w:rsid w:val="000E600C"/>
    <w:rsid w:val="000E6443"/>
    <w:rsid w:val="000E703E"/>
    <w:rsid w:val="000F01B1"/>
    <w:rsid w:val="000F0830"/>
    <w:rsid w:val="000F1CC5"/>
    <w:rsid w:val="000F2D4D"/>
    <w:rsid w:val="000F3BA8"/>
    <w:rsid w:val="0010367F"/>
    <w:rsid w:val="001137FB"/>
    <w:rsid w:val="0012077F"/>
    <w:rsid w:val="001312D1"/>
    <w:rsid w:val="0013322F"/>
    <w:rsid w:val="001350B9"/>
    <w:rsid w:val="00137965"/>
    <w:rsid w:val="001476CF"/>
    <w:rsid w:val="00155937"/>
    <w:rsid w:val="00162153"/>
    <w:rsid w:val="00163B67"/>
    <w:rsid w:val="00165EBF"/>
    <w:rsid w:val="0017058C"/>
    <w:rsid w:val="00182839"/>
    <w:rsid w:val="001857A8"/>
    <w:rsid w:val="00192F6E"/>
    <w:rsid w:val="00194826"/>
    <w:rsid w:val="001A1B97"/>
    <w:rsid w:val="001A1BF8"/>
    <w:rsid w:val="001A2901"/>
    <w:rsid w:val="001A5097"/>
    <w:rsid w:val="001A7E52"/>
    <w:rsid w:val="001B04F3"/>
    <w:rsid w:val="001B05FB"/>
    <w:rsid w:val="001B20DE"/>
    <w:rsid w:val="001B4F16"/>
    <w:rsid w:val="001B6CA9"/>
    <w:rsid w:val="001C004E"/>
    <w:rsid w:val="001C2941"/>
    <w:rsid w:val="001C4FFD"/>
    <w:rsid w:val="001D49AB"/>
    <w:rsid w:val="001D4E15"/>
    <w:rsid w:val="001D715F"/>
    <w:rsid w:val="001E4A41"/>
    <w:rsid w:val="001E52C6"/>
    <w:rsid w:val="001F6C2C"/>
    <w:rsid w:val="00200EA7"/>
    <w:rsid w:val="00205B9B"/>
    <w:rsid w:val="00220E81"/>
    <w:rsid w:val="00226175"/>
    <w:rsid w:val="00232720"/>
    <w:rsid w:val="002402F3"/>
    <w:rsid w:val="00243021"/>
    <w:rsid w:val="00245CC8"/>
    <w:rsid w:val="00250411"/>
    <w:rsid w:val="00252642"/>
    <w:rsid w:val="002537C4"/>
    <w:rsid w:val="00261D91"/>
    <w:rsid w:val="00262C03"/>
    <w:rsid w:val="002673B0"/>
    <w:rsid w:val="00270612"/>
    <w:rsid w:val="002771B7"/>
    <w:rsid w:val="00281797"/>
    <w:rsid w:val="00283202"/>
    <w:rsid w:val="00284D57"/>
    <w:rsid w:val="00294011"/>
    <w:rsid w:val="002948E3"/>
    <w:rsid w:val="002A08A1"/>
    <w:rsid w:val="002A4AB5"/>
    <w:rsid w:val="002A6F2E"/>
    <w:rsid w:val="002B4914"/>
    <w:rsid w:val="002B5F44"/>
    <w:rsid w:val="002C17E7"/>
    <w:rsid w:val="002C2203"/>
    <w:rsid w:val="002C6B46"/>
    <w:rsid w:val="002C6B8B"/>
    <w:rsid w:val="002C7419"/>
    <w:rsid w:val="002D1DA6"/>
    <w:rsid w:val="002D2714"/>
    <w:rsid w:val="002F4DB9"/>
    <w:rsid w:val="002F69E0"/>
    <w:rsid w:val="00304084"/>
    <w:rsid w:val="003054A4"/>
    <w:rsid w:val="00305C98"/>
    <w:rsid w:val="00311B41"/>
    <w:rsid w:val="003177E8"/>
    <w:rsid w:val="00320C05"/>
    <w:rsid w:val="00321ED0"/>
    <w:rsid w:val="00324E46"/>
    <w:rsid w:val="00343534"/>
    <w:rsid w:val="00344137"/>
    <w:rsid w:val="00344998"/>
    <w:rsid w:val="003544A8"/>
    <w:rsid w:val="003579E0"/>
    <w:rsid w:val="00357A1A"/>
    <w:rsid w:val="00364329"/>
    <w:rsid w:val="0037056A"/>
    <w:rsid w:val="003720B6"/>
    <w:rsid w:val="0037474E"/>
    <w:rsid w:val="00374849"/>
    <w:rsid w:val="00376402"/>
    <w:rsid w:val="00386E6E"/>
    <w:rsid w:val="00392698"/>
    <w:rsid w:val="00394B51"/>
    <w:rsid w:val="003963D9"/>
    <w:rsid w:val="003A29F7"/>
    <w:rsid w:val="003A67C7"/>
    <w:rsid w:val="003B05BB"/>
    <w:rsid w:val="003B50AF"/>
    <w:rsid w:val="003B5665"/>
    <w:rsid w:val="003B5CB0"/>
    <w:rsid w:val="003C1FD8"/>
    <w:rsid w:val="003C7219"/>
    <w:rsid w:val="003D0CDC"/>
    <w:rsid w:val="003D395E"/>
    <w:rsid w:val="003D4D72"/>
    <w:rsid w:val="003F0069"/>
    <w:rsid w:val="003F4000"/>
    <w:rsid w:val="003F79CE"/>
    <w:rsid w:val="003F7C74"/>
    <w:rsid w:val="0040011A"/>
    <w:rsid w:val="00400BEA"/>
    <w:rsid w:val="00404B24"/>
    <w:rsid w:val="00410C0E"/>
    <w:rsid w:val="00412CF0"/>
    <w:rsid w:val="00414D31"/>
    <w:rsid w:val="0041612E"/>
    <w:rsid w:val="00416E60"/>
    <w:rsid w:val="00430255"/>
    <w:rsid w:val="00432237"/>
    <w:rsid w:val="004405DA"/>
    <w:rsid w:val="00441618"/>
    <w:rsid w:val="00443673"/>
    <w:rsid w:val="004450AC"/>
    <w:rsid w:val="00451332"/>
    <w:rsid w:val="00453289"/>
    <w:rsid w:val="00454750"/>
    <w:rsid w:val="0045512A"/>
    <w:rsid w:val="004577FB"/>
    <w:rsid w:val="00457E75"/>
    <w:rsid w:val="0046405F"/>
    <w:rsid w:val="00464184"/>
    <w:rsid w:val="0046617B"/>
    <w:rsid w:val="004729AD"/>
    <w:rsid w:val="00472A85"/>
    <w:rsid w:val="00475171"/>
    <w:rsid w:val="00477A13"/>
    <w:rsid w:val="004805F0"/>
    <w:rsid w:val="00480EB1"/>
    <w:rsid w:val="00481CAA"/>
    <w:rsid w:val="00482947"/>
    <w:rsid w:val="00485009"/>
    <w:rsid w:val="00492446"/>
    <w:rsid w:val="004A28ED"/>
    <w:rsid w:val="004B19D1"/>
    <w:rsid w:val="004B1A84"/>
    <w:rsid w:val="004B2070"/>
    <w:rsid w:val="004B26C4"/>
    <w:rsid w:val="004B3096"/>
    <w:rsid w:val="004B6847"/>
    <w:rsid w:val="004C61E6"/>
    <w:rsid w:val="004E7C73"/>
    <w:rsid w:val="004F0CC3"/>
    <w:rsid w:val="004F190D"/>
    <w:rsid w:val="004F1BBC"/>
    <w:rsid w:val="004F2A61"/>
    <w:rsid w:val="004F5F96"/>
    <w:rsid w:val="00503CBF"/>
    <w:rsid w:val="00503D1C"/>
    <w:rsid w:val="00506AD5"/>
    <w:rsid w:val="00506F4B"/>
    <w:rsid w:val="005108BE"/>
    <w:rsid w:val="00513C6F"/>
    <w:rsid w:val="0051452F"/>
    <w:rsid w:val="00514B3E"/>
    <w:rsid w:val="00522D49"/>
    <w:rsid w:val="00523883"/>
    <w:rsid w:val="00531E55"/>
    <w:rsid w:val="00540E22"/>
    <w:rsid w:val="00541624"/>
    <w:rsid w:val="0054191F"/>
    <w:rsid w:val="00544980"/>
    <w:rsid w:val="005460FF"/>
    <w:rsid w:val="00550D17"/>
    <w:rsid w:val="005664D5"/>
    <w:rsid w:val="0057113E"/>
    <w:rsid w:val="00571152"/>
    <w:rsid w:val="005743BE"/>
    <w:rsid w:val="005751DC"/>
    <w:rsid w:val="005760AD"/>
    <w:rsid w:val="00577D0B"/>
    <w:rsid w:val="00585692"/>
    <w:rsid w:val="00586A11"/>
    <w:rsid w:val="00586A25"/>
    <w:rsid w:val="0059198E"/>
    <w:rsid w:val="0059572B"/>
    <w:rsid w:val="00596EFA"/>
    <w:rsid w:val="005A3569"/>
    <w:rsid w:val="005B1B9B"/>
    <w:rsid w:val="005B417D"/>
    <w:rsid w:val="005B5129"/>
    <w:rsid w:val="005C0353"/>
    <w:rsid w:val="005C0A8D"/>
    <w:rsid w:val="005C56DF"/>
    <w:rsid w:val="005D5740"/>
    <w:rsid w:val="005E274B"/>
    <w:rsid w:val="005F0D26"/>
    <w:rsid w:val="005F1F39"/>
    <w:rsid w:val="005F3EE4"/>
    <w:rsid w:val="005F7416"/>
    <w:rsid w:val="005F74C5"/>
    <w:rsid w:val="0060105F"/>
    <w:rsid w:val="006019E2"/>
    <w:rsid w:val="0060205C"/>
    <w:rsid w:val="006036C8"/>
    <w:rsid w:val="00605CA4"/>
    <w:rsid w:val="0061029C"/>
    <w:rsid w:val="00610B95"/>
    <w:rsid w:val="00620550"/>
    <w:rsid w:val="0063039B"/>
    <w:rsid w:val="0063242B"/>
    <w:rsid w:val="00635A49"/>
    <w:rsid w:val="006436CF"/>
    <w:rsid w:val="006467A8"/>
    <w:rsid w:val="00653218"/>
    <w:rsid w:val="0065684E"/>
    <w:rsid w:val="00665C9B"/>
    <w:rsid w:val="00666691"/>
    <w:rsid w:val="00675E18"/>
    <w:rsid w:val="00676A1E"/>
    <w:rsid w:val="00677CE8"/>
    <w:rsid w:val="006830C2"/>
    <w:rsid w:val="0068611D"/>
    <w:rsid w:val="006863E5"/>
    <w:rsid w:val="00686D70"/>
    <w:rsid w:val="00692D1A"/>
    <w:rsid w:val="006A0DE6"/>
    <w:rsid w:val="006A3955"/>
    <w:rsid w:val="006A4D43"/>
    <w:rsid w:val="006B0459"/>
    <w:rsid w:val="006B3F6D"/>
    <w:rsid w:val="006B47F7"/>
    <w:rsid w:val="006B4D83"/>
    <w:rsid w:val="006C4138"/>
    <w:rsid w:val="006C62CC"/>
    <w:rsid w:val="006E11C0"/>
    <w:rsid w:val="006E6787"/>
    <w:rsid w:val="006E6790"/>
    <w:rsid w:val="006E6F81"/>
    <w:rsid w:val="006E7AC5"/>
    <w:rsid w:val="006F74A8"/>
    <w:rsid w:val="007008AA"/>
    <w:rsid w:val="007029D1"/>
    <w:rsid w:val="00702A08"/>
    <w:rsid w:val="00703565"/>
    <w:rsid w:val="007065A3"/>
    <w:rsid w:val="00707380"/>
    <w:rsid w:val="00710121"/>
    <w:rsid w:val="00710BC5"/>
    <w:rsid w:val="007168B1"/>
    <w:rsid w:val="00716DBE"/>
    <w:rsid w:val="007203C0"/>
    <w:rsid w:val="007273E7"/>
    <w:rsid w:val="0073119A"/>
    <w:rsid w:val="00732CCD"/>
    <w:rsid w:val="00733999"/>
    <w:rsid w:val="007366AB"/>
    <w:rsid w:val="00736DFD"/>
    <w:rsid w:val="00737D51"/>
    <w:rsid w:val="00737F77"/>
    <w:rsid w:val="00745B20"/>
    <w:rsid w:val="0075062B"/>
    <w:rsid w:val="00755E61"/>
    <w:rsid w:val="00756152"/>
    <w:rsid w:val="00756F01"/>
    <w:rsid w:val="007577C6"/>
    <w:rsid w:val="0076030A"/>
    <w:rsid w:val="0076080B"/>
    <w:rsid w:val="007617AC"/>
    <w:rsid w:val="00771651"/>
    <w:rsid w:val="007718B7"/>
    <w:rsid w:val="007732DB"/>
    <w:rsid w:val="00777F1D"/>
    <w:rsid w:val="00783616"/>
    <w:rsid w:val="00787904"/>
    <w:rsid w:val="0079338A"/>
    <w:rsid w:val="007A182D"/>
    <w:rsid w:val="007A3672"/>
    <w:rsid w:val="007C2B29"/>
    <w:rsid w:val="007C3BE0"/>
    <w:rsid w:val="007C540E"/>
    <w:rsid w:val="007C770B"/>
    <w:rsid w:val="007C7BBF"/>
    <w:rsid w:val="007E41DC"/>
    <w:rsid w:val="007E5AC3"/>
    <w:rsid w:val="007F1659"/>
    <w:rsid w:val="007F4BED"/>
    <w:rsid w:val="00803AEA"/>
    <w:rsid w:val="00804C6C"/>
    <w:rsid w:val="008143FA"/>
    <w:rsid w:val="00815616"/>
    <w:rsid w:val="00817DE8"/>
    <w:rsid w:val="008239B5"/>
    <w:rsid w:val="0083368A"/>
    <w:rsid w:val="00836088"/>
    <w:rsid w:val="00847349"/>
    <w:rsid w:val="00850B2C"/>
    <w:rsid w:val="0085285D"/>
    <w:rsid w:val="00857DE0"/>
    <w:rsid w:val="008603D6"/>
    <w:rsid w:val="00862616"/>
    <w:rsid w:val="00862E8B"/>
    <w:rsid w:val="00866830"/>
    <w:rsid w:val="008751D2"/>
    <w:rsid w:val="00880EE3"/>
    <w:rsid w:val="00882CE6"/>
    <w:rsid w:val="00885C71"/>
    <w:rsid w:val="00887B31"/>
    <w:rsid w:val="008940FA"/>
    <w:rsid w:val="008A05A8"/>
    <w:rsid w:val="008A3719"/>
    <w:rsid w:val="008A49C0"/>
    <w:rsid w:val="008B50DB"/>
    <w:rsid w:val="008C1F67"/>
    <w:rsid w:val="008C60E7"/>
    <w:rsid w:val="008D583B"/>
    <w:rsid w:val="008D6E9B"/>
    <w:rsid w:val="008E08A5"/>
    <w:rsid w:val="008E1394"/>
    <w:rsid w:val="008E4D2A"/>
    <w:rsid w:val="008F77BB"/>
    <w:rsid w:val="00902C06"/>
    <w:rsid w:val="00903ADC"/>
    <w:rsid w:val="009042DD"/>
    <w:rsid w:val="0091027E"/>
    <w:rsid w:val="00913333"/>
    <w:rsid w:val="00913BD1"/>
    <w:rsid w:val="0091746D"/>
    <w:rsid w:val="009206C6"/>
    <w:rsid w:val="0092133A"/>
    <w:rsid w:val="00922B4F"/>
    <w:rsid w:val="00925E8F"/>
    <w:rsid w:val="009277E6"/>
    <w:rsid w:val="00931992"/>
    <w:rsid w:val="00952CB7"/>
    <w:rsid w:val="00957C04"/>
    <w:rsid w:val="00960EED"/>
    <w:rsid w:val="00966769"/>
    <w:rsid w:val="009678E3"/>
    <w:rsid w:val="0097001D"/>
    <w:rsid w:val="00980AC1"/>
    <w:rsid w:val="00984F45"/>
    <w:rsid w:val="00986E81"/>
    <w:rsid w:val="00995285"/>
    <w:rsid w:val="009A124B"/>
    <w:rsid w:val="009A2EAD"/>
    <w:rsid w:val="009B23BB"/>
    <w:rsid w:val="009B4FCD"/>
    <w:rsid w:val="009B5866"/>
    <w:rsid w:val="009C0204"/>
    <w:rsid w:val="009C609D"/>
    <w:rsid w:val="009D1012"/>
    <w:rsid w:val="009D3A48"/>
    <w:rsid w:val="009E3AD8"/>
    <w:rsid w:val="009E6868"/>
    <w:rsid w:val="009F5D38"/>
    <w:rsid w:val="009F6A42"/>
    <w:rsid w:val="00A113FE"/>
    <w:rsid w:val="00A1158A"/>
    <w:rsid w:val="00A1279C"/>
    <w:rsid w:val="00A22A2A"/>
    <w:rsid w:val="00A262C2"/>
    <w:rsid w:val="00A26DC2"/>
    <w:rsid w:val="00A308F9"/>
    <w:rsid w:val="00A30D01"/>
    <w:rsid w:val="00A31A8B"/>
    <w:rsid w:val="00A32E5B"/>
    <w:rsid w:val="00A4070B"/>
    <w:rsid w:val="00A40800"/>
    <w:rsid w:val="00A4354F"/>
    <w:rsid w:val="00A43B3C"/>
    <w:rsid w:val="00A4634D"/>
    <w:rsid w:val="00A51ADB"/>
    <w:rsid w:val="00A51B44"/>
    <w:rsid w:val="00A5278D"/>
    <w:rsid w:val="00A549F0"/>
    <w:rsid w:val="00A5699F"/>
    <w:rsid w:val="00A61723"/>
    <w:rsid w:val="00A62FBE"/>
    <w:rsid w:val="00A630A6"/>
    <w:rsid w:val="00A6561B"/>
    <w:rsid w:val="00A6765F"/>
    <w:rsid w:val="00A676F9"/>
    <w:rsid w:val="00A739E9"/>
    <w:rsid w:val="00A73E71"/>
    <w:rsid w:val="00A847A9"/>
    <w:rsid w:val="00A97B23"/>
    <w:rsid w:val="00AA1B4D"/>
    <w:rsid w:val="00AA41B6"/>
    <w:rsid w:val="00AA682E"/>
    <w:rsid w:val="00AA72D0"/>
    <w:rsid w:val="00AA7A5E"/>
    <w:rsid w:val="00AB1896"/>
    <w:rsid w:val="00AB2006"/>
    <w:rsid w:val="00AB2060"/>
    <w:rsid w:val="00AB287F"/>
    <w:rsid w:val="00AC26E3"/>
    <w:rsid w:val="00AD1F65"/>
    <w:rsid w:val="00AD3B73"/>
    <w:rsid w:val="00AF3132"/>
    <w:rsid w:val="00AF7928"/>
    <w:rsid w:val="00B044B2"/>
    <w:rsid w:val="00B05982"/>
    <w:rsid w:val="00B1180C"/>
    <w:rsid w:val="00B11E87"/>
    <w:rsid w:val="00B16FF7"/>
    <w:rsid w:val="00B177E3"/>
    <w:rsid w:val="00B25122"/>
    <w:rsid w:val="00B25E89"/>
    <w:rsid w:val="00B345F7"/>
    <w:rsid w:val="00B71F92"/>
    <w:rsid w:val="00B75D0A"/>
    <w:rsid w:val="00B76B05"/>
    <w:rsid w:val="00B776C4"/>
    <w:rsid w:val="00B809AD"/>
    <w:rsid w:val="00B81256"/>
    <w:rsid w:val="00B87C55"/>
    <w:rsid w:val="00B90EDF"/>
    <w:rsid w:val="00B92BF3"/>
    <w:rsid w:val="00B93DAC"/>
    <w:rsid w:val="00B96499"/>
    <w:rsid w:val="00BA1085"/>
    <w:rsid w:val="00BA190A"/>
    <w:rsid w:val="00BB0C8F"/>
    <w:rsid w:val="00BB0E0A"/>
    <w:rsid w:val="00BB1190"/>
    <w:rsid w:val="00BB346E"/>
    <w:rsid w:val="00BB5340"/>
    <w:rsid w:val="00BB7056"/>
    <w:rsid w:val="00BF108B"/>
    <w:rsid w:val="00C00CF0"/>
    <w:rsid w:val="00C0263D"/>
    <w:rsid w:val="00C03896"/>
    <w:rsid w:val="00C06A86"/>
    <w:rsid w:val="00C06BF9"/>
    <w:rsid w:val="00C14DED"/>
    <w:rsid w:val="00C21956"/>
    <w:rsid w:val="00C21F4F"/>
    <w:rsid w:val="00C41516"/>
    <w:rsid w:val="00C4228F"/>
    <w:rsid w:val="00C433A3"/>
    <w:rsid w:val="00C55A00"/>
    <w:rsid w:val="00C6206F"/>
    <w:rsid w:val="00C7678B"/>
    <w:rsid w:val="00C7727E"/>
    <w:rsid w:val="00C814DB"/>
    <w:rsid w:val="00C83455"/>
    <w:rsid w:val="00C835C0"/>
    <w:rsid w:val="00C84ADD"/>
    <w:rsid w:val="00C90520"/>
    <w:rsid w:val="00CA0328"/>
    <w:rsid w:val="00CB0F57"/>
    <w:rsid w:val="00CB60C9"/>
    <w:rsid w:val="00CB675D"/>
    <w:rsid w:val="00CB6DBD"/>
    <w:rsid w:val="00CC1BFF"/>
    <w:rsid w:val="00CC4010"/>
    <w:rsid w:val="00CC7299"/>
    <w:rsid w:val="00CD0571"/>
    <w:rsid w:val="00CD3FF5"/>
    <w:rsid w:val="00CD4F85"/>
    <w:rsid w:val="00CE196B"/>
    <w:rsid w:val="00CE2B2E"/>
    <w:rsid w:val="00CE6490"/>
    <w:rsid w:val="00CF3DB6"/>
    <w:rsid w:val="00CF447C"/>
    <w:rsid w:val="00CF6BC2"/>
    <w:rsid w:val="00D053B9"/>
    <w:rsid w:val="00D10447"/>
    <w:rsid w:val="00D20548"/>
    <w:rsid w:val="00D30F5A"/>
    <w:rsid w:val="00D3683A"/>
    <w:rsid w:val="00D42CC2"/>
    <w:rsid w:val="00D42F6D"/>
    <w:rsid w:val="00D53CC8"/>
    <w:rsid w:val="00D64847"/>
    <w:rsid w:val="00D70AE6"/>
    <w:rsid w:val="00D71D09"/>
    <w:rsid w:val="00D73703"/>
    <w:rsid w:val="00D74109"/>
    <w:rsid w:val="00D76436"/>
    <w:rsid w:val="00D8112A"/>
    <w:rsid w:val="00D84C9E"/>
    <w:rsid w:val="00D85EA6"/>
    <w:rsid w:val="00D87DE7"/>
    <w:rsid w:val="00D91A5E"/>
    <w:rsid w:val="00D9365F"/>
    <w:rsid w:val="00DA14E2"/>
    <w:rsid w:val="00DA156E"/>
    <w:rsid w:val="00DA18EE"/>
    <w:rsid w:val="00DA1EA9"/>
    <w:rsid w:val="00DA3EED"/>
    <w:rsid w:val="00DA489E"/>
    <w:rsid w:val="00DA6ED3"/>
    <w:rsid w:val="00DA70D7"/>
    <w:rsid w:val="00DA7A0D"/>
    <w:rsid w:val="00DB0AEA"/>
    <w:rsid w:val="00DB2491"/>
    <w:rsid w:val="00DC19A9"/>
    <w:rsid w:val="00DD1ECF"/>
    <w:rsid w:val="00DD1F72"/>
    <w:rsid w:val="00DD4FB9"/>
    <w:rsid w:val="00DD56ED"/>
    <w:rsid w:val="00DD5C34"/>
    <w:rsid w:val="00DD79BC"/>
    <w:rsid w:val="00DD7FD3"/>
    <w:rsid w:val="00DE103E"/>
    <w:rsid w:val="00DE206A"/>
    <w:rsid w:val="00DF298B"/>
    <w:rsid w:val="00E01C04"/>
    <w:rsid w:val="00E26544"/>
    <w:rsid w:val="00E3550B"/>
    <w:rsid w:val="00E36DC8"/>
    <w:rsid w:val="00E40B0E"/>
    <w:rsid w:val="00E46866"/>
    <w:rsid w:val="00E47D5F"/>
    <w:rsid w:val="00E50FFE"/>
    <w:rsid w:val="00E53E9D"/>
    <w:rsid w:val="00E558DB"/>
    <w:rsid w:val="00E65452"/>
    <w:rsid w:val="00E65A15"/>
    <w:rsid w:val="00E718D6"/>
    <w:rsid w:val="00E71A9E"/>
    <w:rsid w:val="00E74918"/>
    <w:rsid w:val="00E82139"/>
    <w:rsid w:val="00E8259F"/>
    <w:rsid w:val="00E851FA"/>
    <w:rsid w:val="00E8598B"/>
    <w:rsid w:val="00E86657"/>
    <w:rsid w:val="00E86916"/>
    <w:rsid w:val="00E9011D"/>
    <w:rsid w:val="00E94EDA"/>
    <w:rsid w:val="00E94F5F"/>
    <w:rsid w:val="00E9751A"/>
    <w:rsid w:val="00EA4BF8"/>
    <w:rsid w:val="00EA5CBF"/>
    <w:rsid w:val="00EA65B7"/>
    <w:rsid w:val="00EA6DEC"/>
    <w:rsid w:val="00EB06FB"/>
    <w:rsid w:val="00EC08F9"/>
    <w:rsid w:val="00EC1AF9"/>
    <w:rsid w:val="00EC21BA"/>
    <w:rsid w:val="00EC290B"/>
    <w:rsid w:val="00EC3BD9"/>
    <w:rsid w:val="00EC4166"/>
    <w:rsid w:val="00EC5137"/>
    <w:rsid w:val="00EC6677"/>
    <w:rsid w:val="00ED2AF4"/>
    <w:rsid w:val="00EE16E7"/>
    <w:rsid w:val="00EE1F67"/>
    <w:rsid w:val="00EE45AD"/>
    <w:rsid w:val="00EE79E1"/>
    <w:rsid w:val="00EF0468"/>
    <w:rsid w:val="00EF1D18"/>
    <w:rsid w:val="00EF33C7"/>
    <w:rsid w:val="00EF451E"/>
    <w:rsid w:val="00F00E97"/>
    <w:rsid w:val="00F02013"/>
    <w:rsid w:val="00F0369C"/>
    <w:rsid w:val="00F071DC"/>
    <w:rsid w:val="00F1335A"/>
    <w:rsid w:val="00F21549"/>
    <w:rsid w:val="00F23A11"/>
    <w:rsid w:val="00F2402C"/>
    <w:rsid w:val="00F266E8"/>
    <w:rsid w:val="00F33E5F"/>
    <w:rsid w:val="00F365BB"/>
    <w:rsid w:val="00F40A1D"/>
    <w:rsid w:val="00F50298"/>
    <w:rsid w:val="00F5173E"/>
    <w:rsid w:val="00F52518"/>
    <w:rsid w:val="00F5571B"/>
    <w:rsid w:val="00F56783"/>
    <w:rsid w:val="00F60EA9"/>
    <w:rsid w:val="00F627DC"/>
    <w:rsid w:val="00F62FEB"/>
    <w:rsid w:val="00F71EF0"/>
    <w:rsid w:val="00F720FC"/>
    <w:rsid w:val="00F80DC1"/>
    <w:rsid w:val="00F812B9"/>
    <w:rsid w:val="00F8191D"/>
    <w:rsid w:val="00F81E29"/>
    <w:rsid w:val="00F92ADC"/>
    <w:rsid w:val="00F930DB"/>
    <w:rsid w:val="00F95307"/>
    <w:rsid w:val="00F95585"/>
    <w:rsid w:val="00FA04D1"/>
    <w:rsid w:val="00FA12C0"/>
    <w:rsid w:val="00FA2F46"/>
    <w:rsid w:val="00FA73F5"/>
    <w:rsid w:val="00FB74FA"/>
    <w:rsid w:val="00FC05AE"/>
    <w:rsid w:val="00FC10E7"/>
    <w:rsid w:val="00FC2B39"/>
    <w:rsid w:val="00FC5455"/>
    <w:rsid w:val="00FC6807"/>
    <w:rsid w:val="00FC6D6A"/>
    <w:rsid w:val="00FE406A"/>
    <w:rsid w:val="00FE45B8"/>
    <w:rsid w:val="00FE4AD5"/>
    <w:rsid w:val="00FE545A"/>
    <w:rsid w:val="00FE55E0"/>
    <w:rsid w:val="00FF10E5"/>
    <w:rsid w:val="00FF26C7"/>
    <w:rsid w:val="00FF56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3A0C"/>
  <w15:chartTrackingRefBased/>
  <w15:docId w15:val="{094B0332-56E2-4CBC-BFCE-A0E6FC17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14AC"/>
  </w:style>
  <w:style w:type="paragraph" w:styleId="Nagwek1">
    <w:name w:val="heading 1"/>
    <w:basedOn w:val="Normalny"/>
    <w:next w:val="Normalny"/>
    <w:link w:val="Nagwek1Znak"/>
    <w:uiPriority w:val="9"/>
    <w:qFormat/>
    <w:rsid w:val="00D84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84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84C9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84C9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84C9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84C9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84C9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84C9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84C9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84C9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84C9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84C9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84C9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84C9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84C9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84C9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84C9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84C9E"/>
    <w:rPr>
      <w:rFonts w:eastAsiaTheme="majorEastAsia" w:cstheme="majorBidi"/>
      <w:color w:val="272727" w:themeColor="text1" w:themeTint="D8"/>
    </w:rPr>
  </w:style>
  <w:style w:type="paragraph" w:styleId="Tytu">
    <w:name w:val="Title"/>
    <w:basedOn w:val="Normalny"/>
    <w:next w:val="Normalny"/>
    <w:link w:val="TytuZnak"/>
    <w:uiPriority w:val="10"/>
    <w:qFormat/>
    <w:rsid w:val="00D84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84C9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84C9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84C9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84C9E"/>
    <w:pPr>
      <w:spacing w:before="160"/>
      <w:jc w:val="center"/>
    </w:pPr>
    <w:rPr>
      <w:i/>
      <w:iCs/>
      <w:color w:val="404040" w:themeColor="text1" w:themeTint="BF"/>
    </w:rPr>
  </w:style>
  <w:style w:type="character" w:customStyle="1" w:styleId="CytatZnak">
    <w:name w:val="Cytat Znak"/>
    <w:basedOn w:val="Domylnaczcionkaakapitu"/>
    <w:link w:val="Cytat"/>
    <w:uiPriority w:val="29"/>
    <w:rsid w:val="00D84C9E"/>
    <w:rPr>
      <w:i/>
      <w:iCs/>
      <w:color w:val="404040" w:themeColor="text1" w:themeTint="BF"/>
    </w:rPr>
  </w:style>
  <w:style w:type="paragraph" w:styleId="Akapitzlist">
    <w:name w:val="List Paragraph"/>
    <w:basedOn w:val="Normalny"/>
    <w:uiPriority w:val="34"/>
    <w:qFormat/>
    <w:rsid w:val="00D84C9E"/>
    <w:pPr>
      <w:ind w:left="720"/>
      <w:contextualSpacing/>
    </w:pPr>
  </w:style>
  <w:style w:type="character" w:styleId="Wyrnienieintensywne">
    <w:name w:val="Intense Emphasis"/>
    <w:basedOn w:val="Domylnaczcionkaakapitu"/>
    <w:uiPriority w:val="21"/>
    <w:qFormat/>
    <w:rsid w:val="00D84C9E"/>
    <w:rPr>
      <w:i/>
      <w:iCs/>
      <w:color w:val="0F4761" w:themeColor="accent1" w:themeShade="BF"/>
    </w:rPr>
  </w:style>
  <w:style w:type="paragraph" w:styleId="Cytatintensywny">
    <w:name w:val="Intense Quote"/>
    <w:basedOn w:val="Normalny"/>
    <w:next w:val="Normalny"/>
    <w:link w:val="CytatintensywnyZnak"/>
    <w:uiPriority w:val="30"/>
    <w:qFormat/>
    <w:rsid w:val="00D84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84C9E"/>
    <w:rPr>
      <w:i/>
      <w:iCs/>
      <w:color w:val="0F4761" w:themeColor="accent1" w:themeShade="BF"/>
    </w:rPr>
  </w:style>
  <w:style w:type="character" w:styleId="Odwoanieintensywne">
    <w:name w:val="Intense Reference"/>
    <w:basedOn w:val="Domylnaczcionkaakapitu"/>
    <w:uiPriority w:val="32"/>
    <w:qFormat/>
    <w:rsid w:val="00D84C9E"/>
    <w:rPr>
      <w:b/>
      <w:bCs/>
      <w:smallCaps/>
      <w:color w:val="0F4761" w:themeColor="accent1" w:themeShade="BF"/>
      <w:spacing w:val="5"/>
    </w:rPr>
  </w:style>
  <w:style w:type="table" w:styleId="Tabela-Siatka">
    <w:name w:val="Table Grid"/>
    <w:basedOn w:val="Standardowy"/>
    <w:uiPriority w:val="39"/>
    <w:rsid w:val="006B4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81E2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1E29"/>
    <w:rPr>
      <w:sz w:val="20"/>
      <w:szCs w:val="20"/>
    </w:rPr>
  </w:style>
  <w:style w:type="character" w:styleId="Odwoanieprzypisukocowego">
    <w:name w:val="endnote reference"/>
    <w:basedOn w:val="Domylnaczcionkaakapitu"/>
    <w:uiPriority w:val="99"/>
    <w:semiHidden/>
    <w:unhideWhenUsed/>
    <w:rsid w:val="00F81E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39CD06AF5E67428331958E478FCD75" ma:contentTypeVersion="24" ma:contentTypeDescription="Utwórz nowy dokument." ma:contentTypeScope="" ma:versionID="5478460851131092ec8c10a3930bbab8">
  <xsd:schema xmlns:xsd="http://www.w3.org/2001/XMLSchema" xmlns:xs="http://www.w3.org/2001/XMLSchema" xmlns:p="http://schemas.microsoft.com/office/2006/metadata/properties" xmlns:ns2="bf01b145-fbcd-446b-ac59-7ff0dc95d193" xmlns:ns3="94240820-f382-49bc-a583-40b6ab52d7df" targetNamespace="http://schemas.microsoft.com/office/2006/metadata/properties" ma:root="true" ma:fieldsID="273319705b3958f7fafe7076b7f5337c" ns2:_="" ns3:_="">
    <xsd:import namespace="bf01b145-fbcd-446b-ac59-7ff0dc95d193"/>
    <xsd:import namespace="94240820-f382-49bc-a583-40b6ab52d7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Opis" minOccurs="0"/>
                <xsd:element ref="ns2:_Flow_SignoffStatus"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1b145-fbcd-446b-ac59-7ff0dc95d1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Opis" ma:index="13" nillable="true" ma:displayName="Opis" ma:format="Dropdown" ma:internalName="Opis">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2e3cc4c5-c773-4309-9e13-c36705b458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TranslatedLang" ma:index="29"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240820-f382-49bc-a583-40b6ab52d7df"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ab61600c-7a54-4681-93cc-c9a1c3c059a7}" ma:internalName="TaxCatchAll" ma:showField="CatchAllData" ma:web="94240820-f382-49bc-a583-40b6ab52d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240820-f382-49bc-a583-40b6ab52d7df" xsi:nil="true"/>
    <_Flow_SignoffStatus xmlns="bf01b145-fbcd-446b-ac59-7ff0dc95d193" xsi:nil="true"/>
    <TranslatedLang xmlns="bf01b145-fbcd-446b-ac59-7ff0dc95d193" xsi:nil="true"/>
    <lcf76f155ced4ddcb4097134ff3c332f xmlns="bf01b145-fbcd-446b-ac59-7ff0dc95d193">
      <Terms xmlns="http://schemas.microsoft.com/office/infopath/2007/PartnerControls"/>
    </lcf76f155ced4ddcb4097134ff3c332f>
    <Opis xmlns="bf01b145-fbcd-446b-ac59-7ff0dc95d193" xsi:nil="true"/>
  </documentManagement>
</p:properties>
</file>

<file path=customXml/itemProps1.xml><?xml version="1.0" encoding="utf-8"?>
<ds:datastoreItem xmlns:ds="http://schemas.openxmlformats.org/officeDocument/2006/customXml" ds:itemID="{AE566116-8F05-4D56-A14A-1969E57AC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1b145-fbcd-446b-ac59-7ff0dc95d193"/>
    <ds:schemaRef ds:uri="94240820-f382-49bc-a583-40b6ab52d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EC8E0-9B31-4C11-9F71-6283C7832541}">
  <ds:schemaRefs>
    <ds:schemaRef ds:uri="http://schemas.microsoft.com/sharepoint/v3/contenttype/forms"/>
  </ds:schemaRefs>
</ds:datastoreItem>
</file>

<file path=customXml/itemProps3.xml><?xml version="1.0" encoding="utf-8"?>
<ds:datastoreItem xmlns:ds="http://schemas.openxmlformats.org/officeDocument/2006/customXml" ds:itemID="{00C1DCC6-4D79-46AD-B295-356B2C3202A8}">
  <ds:schemaRefs>
    <ds:schemaRef ds:uri="http://schemas.microsoft.com/office/2006/metadata/properties"/>
    <ds:schemaRef ds:uri="http://schemas.microsoft.com/office/infopath/2007/PartnerControls"/>
    <ds:schemaRef ds:uri="94240820-f382-49bc-a583-40b6ab52d7df"/>
    <ds:schemaRef ds:uri="bf01b145-fbcd-446b-ac59-7ff0dc95d193"/>
  </ds:schemaRefs>
</ds:datastoreItem>
</file>

<file path=docMetadata/LabelInfo.xml><?xml version="1.0" encoding="utf-8"?>
<clbl:labelList xmlns:clbl="http://schemas.microsoft.com/office/2020/mipLabelMetadata">
  <clbl:label id="{acf9064d-2b0b-40bc-9a4d-cdf6aca3d0ea}" enabled="0" method="" siteId="{acf9064d-2b0b-40bc-9a4d-cdf6aca3d0ea}" removed="1"/>
</clbl:labelList>
</file>

<file path=docProps/app.xml><?xml version="1.0" encoding="utf-8"?>
<Properties xmlns="http://schemas.openxmlformats.org/officeDocument/2006/extended-properties" xmlns:vt="http://schemas.openxmlformats.org/officeDocument/2006/docPropsVTypes">
  <Template>Normal</Template>
  <TotalTime>1865</TotalTime>
  <Pages>12</Pages>
  <Words>3421</Words>
  <Characters>20528</Characters>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2026-04-07T09:24:00Z</dcterms:created>
  <dcterms:modified xsi:type="dcterms:W3CDTF">2026-06-29T14:31:00Z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0x0101001B39CD06AF5E67428331958E478FCD75</vt:lpwstr>
  </property>
</Properties>
</file>